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sz w:val="72"/>
        </w:rPr>
      </w:pPr>
    </w:p>
    <w:p>
      <w:pPr>
        <w:spacing w:line="360" w:lineRule="auto"/>
        <w:jc w:val="center"/>
        <w:rPr>
          <w:sz w:val="72"/>
        </w:rPr>
      </w:pPr>
    </w:p>
    <w:p>
      <w:pPr>
        <w:spacing w:line="360" w:lineRule="auto"/>
        <w:jc w:val="center"/>
        <w:rPr>
          <w:sz w:val="72"/>
        </w:rPr>
      </w:pPr>
      <w:r>
        <w:rPr>
          <w:sz w:val="72"/>
        </w:rPr>
        <w:t>建设项目环境影响报告表</w:t>
      </w:r>
    </w:p>
    <w:p>
      <w:pPr>
        <w:spacing w:line="360" w:lineRule="auto"/>
        <w:jc w:val="center"/>
        <w:rPr>
          <w:sz w:val="36"/>
          <w:szCs w:val="36"/>
        </w:rPr>
      </w:pPr>
      <w:r>
        <w:rPr>
          <w:sz w:val="36"/>
          <w:szCs w:val="36"/>
        </w:rPr>
        <w:t>（试行）</w:t>
      </w:r>
    </w:p>
    <w:p>
      <w:pPr>
        <w:spacing w:line="360" w:lineRule="auto"/>
        <w:jc w:val="center"/>
        <w:rPr>
          <w:sz w:val="32"/>
        </w:rPr>
      </w:pPr>
    </w:p>
    <w:p>
      <w:pPr>
        <w:spacing w:line="360" w:lineRule="auto"/>
        <w:jc w:val="center"/>
        <w:rPr>
          <w:sz w:val="32"/>
        </w:rPr>
      </w:pPr>
    </w:p>
    <w:p>
      <w:pPr>
        <w:spacing w:line="360" w:lineRule="auto"/>
        <w:jc w:val="center"/>
        <w:rPr>
          <w:sz w:val="32"/>
        </w:rPr>
      </w:pPr>
    </w:p>
    <w:p>
      <w:pPr>
        <w:spacing w:line="360" w:lineRule="auto"/>
        <w:jc w:val="center"/>
        <w:rPr>
          <w:sz w:val="32"/>
        </w:rPr>
      </w:pPr>
    </w:p>
    <w:p>
      <w:pPr>
        <w:spacing w:line="360" w:lineRule="auto"/>
        <w:ind w:right="-185" w:rightChars="-88"/>
        <w:rPr>
          <w:bCs/>
          <w:sz w:val="36"/>
        </w:rPr>
      </w:pPr>
    </w:p>
    <w:p>
      <w:pPr>
        <w:spacing w:line="360" w:lineRule="auto"/>
        <w:jc w:val="center"/>
        <w:rPr>
          <w:rFonts w:hint="eastAsia" w:eastAsia="宋体"/>
          <w:bCs/>
          <w:spacing w:val="-4"/>
          <w:sz w:val="32"/>
          <w:szCs w:val="32"/>
          <w:u w:val="single"/>
          <w:lang w:eastAsia="zh-CN"/>
        </w:rPr>
      </w:pPr>
      <w:r>
        <w:rPr>
          <w:bCs/>
          <w:sz w:val="36"/>
        </w:rPr>
        <w:t>项目名称</w:t>
      </w:r>
      <w:r>
        <w:rPr>
          <w:b/>
          <w:sz w:val="36"/>
        </w:rPr>
        <w:t>:</w:t>
      </w:r>
      <w:bookmarkStart w:id="0" w:name="OLE_LINK43"/>
      <w:bookmarkEnd w:id="0"/>
      <w:r>
        <w:rPr>
          <w:rFonts w:hint="eastAsia"/>
          <w:b/>
          <w:bCs/>
          <w:sz w:val="52"/>
          <w:szCs w:val="52"/>
        </w:rPr>
        <w:t xml:space="preserve"> </w:t>
      </w:r>
      <w:r>
        <w:rPr>
          <w:rFonts w:hint="eastAsia"/>
          <w:bCs/>
          <w:spacing w:val="-4"/>
          <w:sz w:val="32"/>
          <w:szCs w:val="32"/>
          <w:u w:val="single"/>
          <w:lang w:eastAsia="zh-CN"/>
        </w:rPr>
        <w:t>承德市鹰手营子矿区生活垃圾中转站工程项目</w:t>
      </w:r>
    </w:p>
    <w:p>
      <w:pPr>
        <w:spacing w:line="360" w:lineRule="auto"/>
        <w:ind w:right="-183" w:rightChars="-87"/>
        <w:jc w:val="center"/>
        <w:rPr>
          <w:bCs/>
          <w:spacing w:val="-4"/>
          <w:sz w:val="32"/>
          <w:szCs w:val="32"/>
          <w:u w:val="single"/>
        </w:rPr>
      </w:pPr>
    </w:p>
    <w:p>
      <w:pPr>
        <w:spacing w:line="360" w:lineRule="auto"/>
        <w:ind w:right="-183" w:rightChars="-87"/>
        <w:jc w:val="center"/>
        <w:rPr>
          <w:bCs/>
          <w:spacing w:val="-4"/>
          <w:sz w:val="32"/>
          <w:szCs w:val="32"/>
          <w:u w:val="single"/>
        </w:rPr>
      </w:pPr>
      <w:r>
        <w:rPr>
          <w:bCs/>
          <w:sz w:val="36"/>
        </w:rPr>
        <w:t>建设单位</w:t>
      </w:r>
      <w:r>
        <w:rPr>
          <w:b/>
          <w:sz w:val="36"/>
        </w:rPr>
        <w:t>:</w:t>
      </w:r>
      <w:r>
        <w:rPr>
          <w:rFonts w:hint="eastAsia" w:cs="宋体"/>
          <w:bCs/>
          <w:sz w:val="28"/>
          <w:szCs w:val="28"/>
        </w:rPr>
        <w:t xml:space="preserve"> </w:t>
      </w:r>
      <w:r>
        <w:rPr>
          <w:rFonts w:hint="eastAsia"/>
          <w:bCs/>
          <w:spacing w:val="-4"/>
          <w:sz w:val="32"/>
          <w:szCs w:val="32"/>
          <w:u w:val="single"/>
        </w:rPr>
        <w:t>承德市鹰手营子矿区利民环卫清洁有限责任公司</w:t>
      </w:r>
    </w:p>
    <w:p>
      <w:pPr>
        <w:spacing w:line="360" w:lineRule="auto"/>
        <w:jc w:val="center"/>
        <w:rPr>
          <w:sz w:val="32"/>
        </w:rPr>
      </w:pPr>
    </w:p>
    <w:p>
      <w:pPr>
        <w:spacing w:line="360" w:lineRule="auto"/>
        <w:jc w:val="center"/>
        <w:rPr>
          <w:sz w:val="32"/>
        </w:rPr>
      </w:pPr>
    </w:p>
    <w:p>
      <w:pPr>
        <w:spacing w:line="360" w:lineRule="auto"/>
        <w:jc w:val="center"/>
        <w:rPr>
          <w:sz w:val="32"/>
        </w:rPr>
      </w:pPr>
    </w:p>
    <w:p>
      <w:pPr>
        <w:spacing w:line="360" w:lineRule="auto"/>
        <w:jc w:val="center"/>
        <w:rPr>
          <w:sz w:val="32"/>
        </w:rPr>
      </w:pPr>
    </w:p>
    <w:p>
      <w:pPr>
        <w:spacing w:line="360" w:lineRule="auto"/>
        <w:rPr>
          <w:sz w:val="32"/>
        </w:rPr>
      </w:pPr>
    </w:p>
    <w:p>
      <w:pPr>
        <w:spacing w:line="360" w:lineRule="auto"/>
        <w:rPr>
          <w:sz w:val="32"/>
        </w:rPr>
      </w:pPr>
    </w:p>
    <w:p>
      <w:pPr>
        <w:spacing w:line="360" w:lineRule="auto"/>
        <w:rPr>
          <w:sz w:val="32"/>
        </w:rPr>
      </w:pPr>
    </w:p>
    <w:p>
      <w:pPr>
        <w:spacing w:line="360" w:lineRule="auto"/>
        <w:jc w:val="center"/>
        <w:rPr>
          <w:bCs/>
          <w:sz w:val="36"/>
        </w:rPr>
      </w:pPr>
      <w:r>
        <w:rPr>
          <w:bCs/>
          <w:sz w:val="36"/>
        </w:rPr>
        <w:t>编制日期：</w:t>
      </w:r>
      <w:r>
        <w:rPr>
          <w:bCs/>
          <w:sz w:val="32"/>
        </w:rPr>
        <w:t>2019年5月24日</w:t>
      </w:r>
    </w:p>
    <w:p>
      <w:pPr>
        <w:spacing w:line="360" w:lineRule="auto"/>
        <w:jc w:val="center"/>
        <w:rPr>
          <w:bCs/>
          <w:sz w:val="24"/>
          <w:szCs w:val="24"/>
        </w:rPr>
      </w:pPr>
    </w:p>
    <w:p>
      <w:pPr>
        <w:spacing w:line="360" w:lineRule="auto"/>
        <w:jc w:val="center"/>
        <w:rPr>
          <w:b/>
          <w:sz w:val="36"/>
        </w:rPr>
      </w:pPr>
      <w:r>
        <w:rPr>
          <w:bCs/>
          <w:sz w:val="36"/>
        </w:rPr>
        <w:t>国家环境保护部制</w:t>
      </w:r>
    </w:p>
    <w:p>
      <w:pPr>
        <w:spacing w:line="360" w:lineRule="auto"/>
      </w:pPr>
    </w:p>
    <w:p>
      <w:pPr>
        <w:tabs>
          <w:tab w:val="left" w:pos="1134"/>
          <w:tab w:val="left" w:pos="6663"/>
        </w:tabs>
        <w:spacing w:line="360" w:lineRule="auto"/>
        <w:jc w:val="center"/>
        <w:rPr>
          <w:sz w:val="36"/>
        </w:rPr>
      </w:pPr>
      <w:r>
        <w:rPr>
          <w:sz w:val="36"/>
        </w:rPr>
        <w:t>《建设项目环境影响报告表》编制说明</w:t>
      </w:r>
    </w:p>
    <w:p>
      <w:pPr>
        <w:spacing w:line="360" w:lineRule="auto"/>
      </w:pPr>
    </w:p>
    <w:p>
      <w:pPr>
        <w:spacing w:line="360" w:lineRule="auto"/>
        <w:ind w:firstLine="624" w:firstLineChars="223"/>
        <w:rPr>
          <w:sz w:val="28"/>
        </w:rPr>
      </w:pPr>
      <w:r>
        <w:rPr>
          <w:sz w:val="28"/>
        </w:rPr>
        <w:t>《建设项目环境影响报告表》由具有从事环境影响评价工作资质的单位编制。</w:t>
      </w:r>
    </w:p>
    <w:p>
      <w:pPr>
        <w:spacing w:line="360" w:lineRule="auto"/>
        <w:ind w:firstLine="624" w:firstLineChars="223"/>
        <w:rPr>
          <w:sz w:val="28"/>
        </w:rPr>
      </w:pPr>
      <w:r>
        <w:rPr>
          <w:sz w:val="28"/>
        </w:rPr>
        <w:t>1、项目名称——指项目立项批复时的名称，应不超过30个字（两个英文字段作一个汉字）。</w:t>
      </w:r>
    </w:p>
    <w:p>
      <w:pPr>
        <w:spacing w:line="360" w:lineRule="auto"/>
        <w:ind w:firstLine="624" w:firstLineChars="223"/>
        <w:rPr>
          <w:sz w:val="28"/>
        </w:rPr>
      </w:pPr>
      <w:r>
        <w:rPr>
          <w:sz w:val="28"/>
        </w:rPr>
        <w:t>2、建设地点——指项目所在地详细地址，公路、铁路应填写起止地点。</w:t>
      </w:r>
    </w:p>
    <w:p>
      <w:pPr>
        <w:spacing w:line="360" w:lineRule="auto"/>
        <w:ind w:firstLine="624" w:firstLineChars="223"/>
        <w:rPr>
          <w:sz w:val="28"/>
        </w:rPr>
      </w:pPr>
      <w:r>
        <w:rPr>
          <w:sz w:val="28"/>
        </w:rPr>
        <w:t>3、行业类别——按国标填写。</w:t>
      </w:r>
    </w:p>
    <w:p>
      <w:pPr>
        <w:spacing w:line="360" w:lineRule="auto"/>
        <w:ind w:firstLine="624" w:firstLineChars="223"/>
        <w:rPr>
          <w:sz w:val="28"/>
        </w:rPr>
      </w:pPr>
      <w:r>
        <w:rPr>
          <w:sz w:val="28"/>
        </w:rPr>
        <w:t>4、总投资——指项目投资总额。</w:t>
      </w:r>
    </w:p>
    <w:p>
      <w:pPr>
        <w:spacing w:line="360" w:lineRule="auto"/>
        <w:ind w:firstLine="646" w:firstLineChars="231"/>
        <w:rPr>
          <w:sz w:val="28"/>
        </w:rPr>
      </w:pPr>
      <w:r>
        <w:rPr>
          <w:sz w:val="28"/>
        </w:rPr>
        <w:t>5、主要环境保护目标——指项目区周围一定范围内集中居民住宅区、学校、医院、保护文物、风景名胜区、水源地和生态敏感点等，应尽可能给出保护目标、性质、规模和距厂界距离等。</w:t>
      </w:r>
    </w:p>
    <w:p>
      <w:pPr>
        <w:spacing w:line="360" w:lineRule="auto"/>
        <w:ind w:firstLine="632" w:firstLineChars="226"/>
        <w:rPr>
          <w:sz w:val="28"/>
        </w:rPr>
      </w:pPr>
      <w:r>
        <w:rPr>
          <w:sz w:val="28"/>
        </w:rPr>
        <w:t>6、结论与建议——给出本项目清洁生产、达标排放和总量控制的分析结论，确定污染防治措施的有效性，说明本项目对环境造成的影响，给出建议项环境可行性的明确结论。同时提出减少环境影响的其他建议。</w:t>
      </w:r>
    </w:p>
    <w:p>
      <w:pPr>
        <w:spacing w:line="360" w:lineRule="auto"/>
        <w:ind w:firstLine="624" w:firstLineChars="223"/>
        <w:rPr>
          <w:sz w:val="28"/>
        </w:rPr>
      </w:pPr>
      <w:r>
        <w:rPr>
          <w:sz w:val="28"/>
        </w:rPr>
        <w:t>7、预审意见——由行业主管部门填写答复意见，无主管部门项目，可不填。</w:t>
      </w:r>
    </w:p>
    <w:p>
      <w:pPr>
        <w:spacing w:line="360" w:lineRule="auto"/>
        <w:ind w:firstLine="624" w:firstLineChars="223"/>
        <w:rPr>
          <w:sz w:val="28"/>
        </w:rPr>
      </w:pPr>
      <w:r>
        <w:rPr>
          <w:sz w:val="28"/>
        </w:rPr>
        <w:t>8、审批意见——由负责审批该项目的环境保护行政主管部门批复。</w:t>
      </w:r>
    </w:p>
    <w:p>
      <w:pPr>
        <w:spacing w:line="360" w:lineRule="auto"/>
        <w:outlineLvl w:val="0"/>
        <w:rPr>
          <w:b/>
          <w:sz w:val="24"/>
          <w:szCs w:val="24"/>
        </w:rPr>
        <w:sectPr>
          <w:headerReference r:id="rId3" w:type="default"/>
          <w:footerReference r:id="rId4" w:type="default"/>
          <w:pgSz w:w="11906" w:h="16838"/>
          <w:pgMar w:top="1440" w:right="1800" w:bottom="1440" w:left="1800" w:header="851" w:footer="992" w:gutter="0"/>
          <w:pgNumType w:start="1"/>
          <w:cols w:space="720" w:num="1"/>
          <w:docGrid w:type="lines" w:linePitch="312" w:charSpace="0"/>
        </w:sectPr>
      </w:pPr>
    </w:p>
    <w:p>
      <w:pPr>
        <w:spacing w:line="360" w:lineRule="auto"/>
        <w:ind w:firstLine="281" w:firstLineChars="100"/>
        <w:outlineLvl w:val="0"/>
        <w:rPr>
          <w:b/>
          <w:sz w:val="28"/>
          <w:szCs w:val="28"/>
        </w:rPr>
      </w:pPr>
      <w:r>
        <w:rPr>
          <w:b/>
          <w:sz w:val="28"/>
          <w:szCs w:val="28"/>
        </w:rPr>
        <w:t>建设项目基本情况</w:t>
      </w:r>
    </w:p>
    <w:tbl>
      <w:tblPr>
        <w:tblStyle w:val="27"/>
        <w:tblW w:w="8936" w:type="dxa"/>
        <w:tblInd w:w="-14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10"/>
        <w:gridCol w:w="2106"/>
        <w:gridCol w:w="480"/>
        <w:gridCol w:w="940"/>
        <w:gridCol w:w="1288"/>
        <w:gridCol w:w="74"/>
        <w:gridCol w:w="1329"/>
        <w:gridCol w:w="140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1310" w:type="dxa"/>
          </w:tcPr>
          <w:p>
            <w:pPr>
              <w:spacing w:line="360" w:lineRule="auto"/>
              <w:jc w:val="center"/>
              <w:rPr>
                <w:b/>
                <w:sz w:val="24"/>
                <w:szCs w:val="24"/>
              </w:rPr>
            </w:pPr>
            <w:r>
              <w:rPr>
                <w:b/>
                <w:sz w:val="24"/>
                <w:szCs w:val="24"/>
              </w:rPr>
              <w:t>项目名称</w:t>
            </w:r>
          </w:p>
        </w:tc>
        <w:tc>
          <w:tcPr>
            <w:tcW w:w="7626" w:type="dxa"/>
            <w:gridSpan w:val="7"/>
          </w:tcPr>
          <w:p>
            <w:pPr>
              <w:spacing w:line="360" w:lineRule="auto"/>
              <w:jc w:val="center"/>
              <w:rPr>
                <w:rFonts w:hint="eastAsia" w:eastAsia="宋体"/>
                <w:sz w:val="24"/>
                <w:szCs w:val="24"/>
                <w:lang w:eastAsia="zh-CN"/>
              </w:rPr>
            </w:pPr>
            <w:r>
              <w:rPr>
                <w:rFonts w:hint="eastAsia"/>
                <w:sz w:val="24"/>
                <w:szCs w:val="24"/>
                <w:lang w:eastAsia="zh-CN"/>
              </w:rPr>
              <w:t>承德市鹰手营子矿区生活垃圾中转站工程项目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1310" w:type="dxa"/>
          </w:tcPr>
          <w:p>
            <w:pPr>
              <w:spacing w:line="360" w:lineRule="auto"/>
              <w:jc w:val="center"/>
              <w:rPr>
                <w:b/>
                <w:sz w:val="24"/>
                <w:szCs w:val="24"/>
              </w:rPr>
            </w:pPr>
            <w:r>
              <w:rPr>
                <w:b/>
                <w:sz w:val="24"/>
                <w:szCs w:val="24"/>
              </w:rPr>
              <w:t>建设单位</w:t>
            </w:r>
          </w:p>
        </w:tc>
        <w:tc>
          <w:tcPr>
            <w:tcW w:w="7626" w:type="dxa"/>
            <w:gridSpan w:val="7"/>
          </w:tcPr>
          <w:p>
            <w:pPr>
              <w:spacing w:line="360" w:lineRule="auto"/>
              <w:jc w:val="center"/>
              <w:rPr>
                <w:sz w:val="24"/>
                <w:szCs w:val="24"/>
              </w:rPr>
            </w:pPr>
            <w:r>
              <w:rPr>
                <w:rFonts w:hint="eastAsia"/>
                <w:sz w:val="24"/>
                <w:szCs w:val="24"/>
              </w:rPr>
              <w:t>承德市鹰手营子矿区利民环卫清洁有限责任公司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1310" w:type="dxa"/>
          </w:tcPr>
          <w:p>
            <w:pPr>
              <w:spacing w:line="360" w:lineRule="auto"/>
              <w:jc w:val="center"/>
              <w:rPr>
                <w:b/>
                <w:sz w:val="24"/>
                <w:szCs w:val="24"/>
              </w:rPr>
            </w:pPr>
            <w:r>
              <w:rPr>
                <w:b/>
                <w:sz w:val="24"/>
                <w:szCs w:val="24"/>
              </w:rPr>
              <w:t>法人代表</w:t>
            </w:r>
          </w:p>
        </w:tc>
        <w:tc>
          <w:tcPr>
            <w:tcW w:w="3526" w:type="dxa"/>
            <w:gridSpan w:val="3"/>
            <w:vAlign w:val="center"/>
          </w:tcPr>
          <w:p>
            <w:pPr>
              <w:spacing w:line="360" w:lineRule="auto"/>
              <w:jc w:val="center"/>
              <w:rPr>
                <w:sz w:val="24"/>
                <w:szCs w:val="24"/>
              </w:rPr>
            </w:pPr>
            <w:r>
              <w:rPr>
                <w:rFonts w:hint="eastAsia"/>
                <w:sz w:val="24"/>
                <w:szCs w:val="24"/>
              </w:rPr>
              <w:t>王建伟</w:t>
            </w:r>
          </w:p>
        </w:tc>
        <w:tc>
          <w:tcPr>
            <w:tcW w:w="1362" w:type="dxa"/>
            <w:gridSpan w:val="2"/>
          </w:tcPr>
          <w:p>
            <w:pPr>
              <w:spacing w:line="360" w:lineRule="auto"/>
              <w:jc w:val="center"/>
              <w:rPr>
                <w:b/>
                <w:sz w:val="24"/>
                <w:szCs w:val="24"/>
              </w:rPr>
            </w:pPr>
            <w:r>
              <w:rPr>
                <w:b/>
                <w:sz w:val="24"/>
                <w:szCs w:val="24"/>
              </w:rPr>
              <w:t>联系人</w:t>
            </w:r>
          </w:p>
        </w:tc>
        <w:tc>
          <w:tcPr>
            <w:tcW w:w="2738" w:type="dxa"/>
            <w:gridSpan w:val="2"/>
            <w:vAlign w:val="center"/>
          </w:tcPr>
          <w:p>
            <w:pPr>
              <w:spacing w:line="360" w:lineRule="auto"/>
              <w:jc w:val="center"/>
              <w:rPr>
                <w:sz w:val="24"/>
                <w:szCs w:val="24"/>
              </w:rPr>
            </w:pPr>
            <w:r>
              <w:rPr>
                <w:rFonts w:hint="eastAsia"/>
                <w:sz w:val="24"/>
                <w:szCs w:val="24"/>
              </w:rPr>
              <w:t>王建伟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1310" w:type="dxa"/>
          </w:tcPr>
          <w:p>
            <w:pPr>
              <w:spacing w:line="360" w:lineRule="auto"/>
              <w:jc w:val="center"/>
              <w:rPr>
                <w:b/>
                <w:sz w:val="24"/>
                <w:szCs w:val="24"/>
              </w:rPr>
            </w:pPr>
            <w:r>
              <w:rPr>
                <w:b/>
                <w:sz w:val="24"/>
                <w:szCs w:val="24"/>
              </w:rPr>
              <w:t>通讯地址</w:t>
            </w:r>
          </w:p>
        </w:tc>
        <w:tc>
          <w:tcPr>
            <w:tcW w:w="7626" w:type="dxa"/>
            <w:gridSpan w:val="7"/>
          </w:tcPr>
          <w:p>
            <w:pPr>
              <w:spacing w:line="360" w:lineRule="auto"/>
              <w:jc w:val="center"/>
              <w:rPr>
                <w:sz w:val="24"/>
                <w:szCs w:val="24"/>
              </w:rPr>
            </w:pPr>
            <w:r>
              <w:rPr>
                <w:rFonts w:hint="eastAsia"/>
                <w:sz w:val="24"/>
                <w:szCs w:val="24"/>
              </w:rPr>
              <w:t>河北承德市鹰手营子矿区鹰手营子镇东马路4号办公楼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1310" w:type="dxa"/>
          </w:tcPr>
          <w:p>
            <w:pPr>
              <w:spacing w:line="360" w:lineRule="auto"/>
              <w:jc w:val="center"/>
              <w:rPr>
                <w:b/>
                <w:sz w:val="24"/>
                <w:szCs w:val="24"/>
              </w:rPr>
            </w:pPr>
            <w:r>
              <w:rPr>
                <w:b/>
                <w:sz w:val="24"/>
                <w:szCs w:val="24"/>
              </w:rPr>
              <w:t>联系电话</w:t>
            </w:r>
          </w:p>
        </w:tc>
        <w:tc>
          <w:tcPr>
            <w:tcW w:w="2586" w:type="dxa"/>
            <w:gridSpan w:val="2"/>
          </w:tcPr>
          <w:p>
            <w:pPr>
              <w:spacing w:line="360" w:lineRule="auto"/>
              <w:jc w:val="center"/>
              <w:rPr>
                <w:sz w:val="24"/>
                <w:szCs w:val="24"/>
              </w:rPr>
            </w:pPr>
            <w:r>
              <w:rPr>
                <w:rFonts w:hint="eastAsia"/>
                <w:sz w:val="24"/>
                <w:szCs w:val="24"/>
              </w:rPr>
              <w:t>18730437833</w:t>
            </w:r>
          </w:p>
        </w:tc>
        <w:tc>
          <w:tcPr>
            <w:tcW w:w="940" w:type="dxa"/>
          </w:tcPr>
          <w:p>
            <w:pPr>
              <w:spacing w:line="360" w:lineRule="auto"/>
              <w:jc w:val="center"/>
              <w:rPr>
                <w:sz w:val="24"/>
                <w:szCs w:val="24"/>
              </w:rPr>
            </w:pPr>
            <w:r>
              <w:rPr>
                <w:b/>
                <w:sz w:val="24"/>
                <w:szCs w:val="24"/>
              </w:rPr>
              <w:t>传真</w:t>
            </w:r>
          </w:p>
        </w:tc>
        <w:tc>
          <w:tcPr>
            <w:tcW w:w="1288" w:type="dxa"/>
          </w:tcPr>
          <w:p>
            <w:pPr>
              <w:spacing w:line="360" w:lineRule="auto"/>
              <w:rPr>
                <w:sz w:val="24"/>
                <w:szCs w:val="24"/>
              </w:rPr>
            </w:pPr>
          </w:p>
        </w:tc>
        <w:tc>
          <w:tcPr>
            <w:tcW w:w="1403" w:type="dxa"/>
            <w:gridSpan w:val="2"/>
          </w:tcPr>
          <w:p>
            <w:pPr>
              <w:spacing w:line="360" w:lineRule="auto"/>
              <w:rPr>
                <w:sz w:val="24"/>
                <w:szCs w:val="24"/>
              </w:rPr>
            </w:pPr>
            <w:r>
              <w:rPr>
                <w:b/>
                <w:sz w:val="24"/>
                <w:szCs w:val="24"/>
              </w:rPr>
              <w:t>邮政编码</w:t>
            </w:r>
          </w:p>
        </w:tc>
        <w:tc>
          <w:tcPr>
            <w:tcW w:w="1409" w:type="dxa"/>
          </w:tcPr>
          <w:p>
            <w:pPr>
              <w:spacing w:line="360" w:lineRule="auto"/>
              <w:jc w:val="center"/>
              <w:rPr>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1310" w:type="dxa"/>
            <w:vAlign w:val="center"/>
          </w:tcPr>
          <w:p>
            <w:pPr>
              <w:spacing w:line="360" w:lineRule="auto"/>
              <w:jc w:val="center"/>
              <w:rPr>
                <w:b/>
                <w:sz w:val="24"/>
                <w:szCs w:val="24"/>
              </w:rPr>
            </w:pPr>
            <w:r>
              <w:rPr>
                <w:b/>
                <w:sz w:val="24"/>
                <w:szCs w:val="24"/>
              </w:rPr>
              <w:t>建设地点</w:t>
            </w:r>
          </w:p>
        </w:tc>
        <w:tc>
          <w:tcPr>
            <w:tcW w:w="7626" w:type="dxa"/>
            <w:gridSpan w:val="7"/>
            <w:vAlign w:val="center"/>
          </w:tcPr>
          <w:p>
            <w:pPr>
              <w:spacing w:line="360" w:lineRule="auto"/>
              <w:jc w:val="center"/>
              <w:rPr>
                <w:sz w:val="24"/>
                <w:szCs w:val="24"/>
              </w:rPr>
            </w:pPr>
            <w:r>
              <w:rPr>
                <w:rFonts w:hint="eastAsia"/>
                <w:sz w:val="24"/>
                <w:szCs w:val="24"/>
              </w:rPr>
              <w:t>鹰手营子矿区主城区以东3公里、老爷庙村后沟处；寿王坟镇污水处理厂旁</w:t>
            </w:r>
            <w:r>
              <w:rPr>
                <w:sz w:val="24"/>
                <w:szCs w:val="24"/>
              </w:rPr>
              <w:t xml:space="preserve">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00" w:hRule="atLeast"/>
        </w:trPr>
        <w:tc>
          <w:tcPr>
            <w:tcW w:w="1310" w:type="dxa"/>
            <w:vAlign w:val="center"/>
          </w:tcPr>
          <w:p>
            <w:pPr>
              <w:spacing w:line="360" w:lineRule="auto"/>
              <w:jc w:val="center"/>
              <w:rPr>
                <w:b/>
                <w:sz w:val="24"/>
                <w:szCs w:val="24"/>
              </w:rPr>
            </w:pPr>
            <w:r>
              <w:rPr>
                <w:b/>
                <w:sz w:val="24"/>
                <w:szCs w:val="24"/>
              </w:rPr>
              <w:t>立项审批</w:t>
            </w:r>
          </w:p>
          <w:p>
            <w:pPr>
              <w:spacing w:line="360" w:lineRule="auto"/>
              <w:jc w:val="center"/>
              <w:rPr>
                <w:b/>
                <w:sz w:val="24"/>
                <w:szCs w:val="24"/>
              </w:rPr>
            </w:pPr>
            <w:r>
              <w:rPr>
                <w:b/>
                <w:sz w:val="24"/>
                <w:szCs w:val="24"/>
              </w:rPr>
              <w:t>部门</w:t>
            </w:r>
          </w:p>
        </w:tc>
        <w:tc>
          <w:tcPr>
            <w:tcW w:w="3526" w:type="dxa"/>
            <w:gridSpan w:val="3"/>
            <w:tcBorders>
              <w:left w:val="single" w:color="auto" w:sz="6" w:space="0"/>
            </w:tcBorders>
            <w:vAlign w:val="center"/>
          </w:tcPr>
          <w:p>
            <w:pPr>
              <w:spacing w:line="360" w:lineRule="auto"/>
              <w:jc w:val="center"/>
              <w:rPr>
                <w:sz w:val="24"/>
                <w:szCs w:val="24"/>
              </w:rPr>
            </w:pPr>
          </w:p>
        </w:tc>
        <w:tc>
          <w:tcPr>
            <w:tcW w:w="1288" w:type="dxa"/>
            <w:vAlign w:val="center"/>
          </w:tcPr>
          <w:p>
            <w:pPr>
              <w:spacing w:line="360" w:lineRule="auto"/>
              <w:jc w:val="center"/>
              <w:rPr>
                <w:b/>
                <w:sz w:val="24"/>
                <w:szCs w:val="24"/>
              </w:rPr>
            </w:pPr>
            <w:r>
              <w:rPr>
                <w:b/>
                <w:sz w:val="24"/>
                <w:szCs w:val="24"/>
              </w:rPr>
              <w:t>批准文号</w:t>
            </w:r>
          </w:p>
        </w:tc>
        <w:tc>
          <w:tcPr>
            <w:tcW w:w="2812" w:type="dxa"/>
            <w:gridSpan w:val="3"/>
            <w:vAlign w:val="center"/>
          </w:tcPr>
          <w:p>
            <w:pPr>
              <w:spacing w:line="360" w:lineRule="auto"/>
              <w:jc w:val="center"/>
              <w:rPr>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00" w:hRule="atLeast"/>
        </w:trPr>
        <w:tc>
          <w:tcPr>
            <w:tcW w:w="1310" w:type="dxa"/>
            <w:vAlign w:val="center"/>
          </w:tcPr>
          <w:p>
            <w:pPr>
              <w:spacing w:line="360" w:lineRule="auto"/>
              <w:jc w:val="center"/>
              <w:rPr>
                <w:b/>
                <w:sz w:val="24"/>
                <w:szCs w:val="24"/>
              </w:rPr>
            </w:pPr>
            <w:r>
              <w:rPr>
                <w:b/>
                <w:sz w:val="24"/>
                <w:szCs w:val="24"/>
              </w:rPr>
              <w:t>建设性质</w:t>
            </w:r>
          </w:p>
        </w:tc>
        <w:tc>
          <w:tcPr>
            <w:tcW w:w="3526" w:type="dxa"/>
            <w:gridSpan w:val="3"/>
            <w:vAlign w:val="center"/>
          </w:tcPr>
          <w:p>
            <w:pPr>
              <w:spacing w:line="360" w:lineRule="auto"/>
              <w:jc w:val="center"/>
              <w:rPr>
                <w:sz w:val="24"/>
                <w:szCs w:val="24"/>
              </w:rPr>
            </w:pPr>
            <w:r>
              <w:rPr>
                <w:sz w:val="24"/>
                <w:szCs w:val="24"/>
              </w:rPr>
              <w:t>新建</w:t>
            </w:r>
            <w:r>
              <w:rPr>
                <w:sz w:val="24"/>
                <w:szCs w:val="24"/>
              </w:rPr>
              <w:sym w:font="Wingdings" w:char="F0FE"/>
            </w:r>
            <w:r>
              <w:rPr>
                <w:sz w:val="24"/>
                <w:szCs w:val="24"/>
              </w:rPr>
              <w:t>改扩建□技改□</w:t>
            </w:r>
          </w:p>
        </w:tc>
        <w:tc>
          <w:tcPr>
            <w:tcW w:w="1288" w:type="dxa"/>
            <w:vAlign w:val="center"/>
          </w:tcPr>
          <w:p>
            <w:pPr>
              <w:spacing w:line="360" w:lineRule="auto"/>
              <w:jc w:val="center"/>
              <w:rPr>
                <w:b/>
                <w:sz w:val="24"/>
                <w:szCs w:val="24"/>
              </w:rPr>
            </w:pPr>
            <w:bookmarkStart w:id="1" w:name="OLE_LINK1"/>
            <w:r>
              <w:rPr>
                <w:b/>
                <w:sz w:val="24"/>
                <w:szCs w:val="24"/>
              </w:rPr>
              <w:t>行业类别</w:t>
            </w:r>
          </w:p>
          <w:p>
            <w:pPr>
              <w:spacing w:line="360" w:lineRule="auto"/>
              <w:jc w:val="center"/>
              <w:rPr>
                <w:b/>
                <w:sz w:val="24"/>
                <w:szCs w:val="24"/>
              </w:rPr>
            </w:pPr>
            <w:r>
              <w:rPr>
                <w:b/>
                <w:sz w:val="24"/>
                <w:szCs w:val="24"/>
              </w:rPr>
              <w:t>及代码</w:t>
            </w:r>
            <w:bookmarkEnd w:id="1"/>
          </w:p>
        </w:tc>
        <w:tc>
          <w:tcPr>
            <w:tcW w:w="2812" w:type="dxa"/>
            <w:gridSpan w:val="3"/>
            <w:vAlign w:val="center"/>
          </w:tcPr>
          <w:p>
            <w:pPr>
              <w:pStyle w:val="105"/>
              <w:spacing w:line="360" w:lineRule="auto"/>
              <w:jc w:val="center"/>
              <w:rPr>
                <w:rFonts w:ascii="Times New Roman" w:cs="Times New Roman"/>
                <w:color w:val="auto"/>
              </w:rPr>
            </w:pPr>
            <w:r>
              <w:rPr>
                <w:rFonts w:ascii="Times New Roman" w:cs="Times New Roman"/>
                <w:color w:val="auto"/>
              </w:rPr>
              <w:t>环境卫生管理</w:t>
            </w:r>
          </w:p>
          <w:p>
            <w:pPr>
              <w:pStyle w:val="105"/>
              <w:spacing w:line="360" w:lineRule="auto"/>
              <w:jc w:val="center"/>
              <w:rPr>
                <w:rFonts w:ascii="Times New Roman"/>
                <w:color w:val="auto"/>
                <w:sz w:val="23"/>
                <w:szCs w:val="23"/>
              </w:rPr>
            </w:pPr>
            <w:r>
              <w:rPr>
                <w:rFonts w:ascii="Times New Roman" w:cs="Times New Roman"/>
                <w:color w:val="auto"/>
              </w:rPr>
              <w:t xml:space="preserve">N7820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00" w:hRule="atLeast"/>
        </w:trPr>
        <w:tc>
          <w:tcPr>
            <w:tcW w:w="1310" w:type="dxa"/>
            <w:vAlign w:val="center"/>
          </w:tcPr>
          <w:p>
            <w:pPr>
              <w:spacing w:line="360" w:lineRule="auto"/>
              <w:jc w:val="center"/>
              <w:rPr>
                <w:b/>
                <w:sz w:val="24"/>
                <w:szCs w:val="24"/>
              </w:rPr>
            </w:pPr>
            <w:r>
              <w:rPr>
                <w:b/>
                <w:sz w:val="24"/>
                <w:szCs w:val="24"/>
              </w:rPr>
              <w:t>占地面积</w:t>
            </w:r>
          </w:p>
          <w:p>
            <w:pPr>
              <w:spacing w:line="360" w:lineRule="auto"/>
              <w:jc w:val="center"/>
              <w:rPr>
                <w:b/>
                <w:sz w:val="24"/>
                <w:szCs w:val="24"/>
              </w:rPr>
            </w:pPr>
            <w:r>
              <w:rPr>
                <w:b/>
                <w:sz w:val="24"/>
                <w:szCs w:val="24"/>
              </w:rPr>
              <w:t>(平方米)</w:t>
            </w:r>
          </w:p>
        </w:tc>
        <w:tc>
          <w:tcPr>
            <w:tcW w:w="3526" w:type="dxa"/>
            <w:gridSpan w:val="3"/>
            <w:vAlign w:val="center"/>
          </w:tcPr>
          <w:p>
            <w:pPr>
              <w:spacing w:line="360" w:lineRule="auto"/>
              <w:jc w:val="center"/>
              <w:rPr>
                <w:sz w:val="24"/>
                <w:szCs w:val="24"/>
              </w:rPr>
            </w:pPr>
            <w:r>
              <w:rPr>
                <w:rFonts w:hint="eastAsia"/>
                <w:sz w:val="24"/>
                <w:szCs w:val="24"/>
              </w:rPr>
              <w:t>7975</w:t>
            </w:r>
          </w:p>
        </w:tc>
        <w:tc>
          <w:tcPr>
            <w:tcW w:w="1288" w:type="dxa"/>
            <w:vAlign w:val="center"/>
          </w:tcPr>
          <w:p>
            <w:pPr>
              <w:spacing w:line="360" w:lineRule="auto"/>
              <w:jc w:val="center"/>
              <w:rPr>
                <w:b/>
                <w:sz w:val="24"/>
                <w:szCs w:val="24"/>
              </w:rPr>
            </w:pPr>
            <w:r>
              <w:rPr>
                <w:b/>
                <w:sz w:val="24"/>
                <w:szCs w:val="24"/>
              </w:rPr>
              <w:t>绿化面积</w:t>
            </w:r>
          </w:p>
          <w:p>
            <w:pPr>
              <w:spacing w:line="360" w:lineRule="auto"/>
              <w:jc w:val="center"/>
              <w:rPr>
                <w:b/>
                <w:sz w:val="24"/>
                <w:szCs w:val="24"/>
              </w:rPr>
            </w:pPr>
            <w:r>
              <w:rPr>
                <w:b/>
                <w:sz w:val="24"/>
                <w:szCs w:val="24"/>
              </w:rPr>
              <w:t>(平方米)</w:t>
            </w:r>
          </w:p>
        </w:tc>
        <w:tc>
          <w:tcPr>
            <w:tcW w:w="2812" w:type="dxa"/>
            <w:gridSpan w:val="3"/>
            <w:vAlign w:val="center"/>
          </w:tcPr>
          <w:p>
            <w:pPr>
              <w:spacing w:line="360" w:lineRule="auto"/>
              <w:jc w:val="center"/>
              <w:rPr>
                <w:sz w:val="24"/>
                <w:szCs w:val="24"/>
              </w:rPr>
            </w:pPr>
            <w:r>
              <w:rPr>
                <w:rFonts w:hint="eastAsia"/>
                <w:sz w:val="24"/>
                <w:szCs w:val="24"/>
              </w:rPr>
              <w:t>3051.03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00" w:hRule="atLeast"/>
        </w:trPr>
        <w:tc>
          <w:tcPr>
            <w:tcW w:w="1310" w:type="dxa"/>
            <w:vAlign w:val="center"/>
          </w:tcPr>
          <w:p>
            <w:pPr>
              <w:spacing w:line="360" w:lineRule="auto"/>
              <w:jc w:val="center"/>
              <w:rPr>
                <w:b/>
                <w:sz w:val="24"/>
                <w:szCs w:val="24"/>
              </w:rPr>
            </w:pPr>
            <w:r>
              <w:rPr>
                <w:b/>
                <w:sz w:val="24"/>
                <w:szCs w:val="24"/>
              </w:rPr>
              <w:t>总投资</w:t>
            </w:r>
          </w:p>
          <w:p>
            <w:pPr>
              <w:spacing w:line="360" w:lineRule="auto"/>
              <w:jc w:val="center"/>
              <w:rPr>
                <w:b/>
                <w:sz w:val="24"/>
                <w:szCs w:val="24"/>
              </w:rPr>
            </w:pPr>
            <w:r>
              <w:rPr>
                <w:b/>
                <w:sz w:val="24"/>
                <w:szCs w:val="24"/>
              </w:rPr>
              <w:t>(万元)</w:t>
            </w:r>
          </w:p>
        </w:tc>
        <w:tc>
          <w:tcPr>
            <w:tcW w:w="2106" w:type="dxa"/>
            <w:vAlign w:val="center"/>
          </w:tcPr>
          <w:p>
            <w:pPr>
              <w:spacing w:line="360" w:lineRule="auto"/>
              <w:jc w:val="center"/>
              <w:rPr>
                <w:sz w:val="24"/>
                <w:szCs w:val="24"/>
              </w:rPr>
            </w:pPr>
            <w:r>
              <w:rPr>
                <w:rFonts w:hint="eastAsia"/>
                <w:sz w:val="24"/>
                <w:szCs w:val="24"/>
              </w:rPr>
              <w:t>2571.9</w:t>
            </w:r>
          </w:p>
        </w:tc>
        <w:tc>
          <w:tcPr>
            <w:tcW w:w="1420" w:type="dxa"/>
            <w:gridSpan w:val="2"/>
            <w:vAlign w:val="center"/>
          </w:tcPr>
          <w:p>
            <w:pPr>
              <w:spacing w:line="360" w:lineRule="auto"/>
              <w:jc w:val="center"/>
              <w:rPr>
                <w:b/>
                <w:sz w:val="24"/>
                <w:szCs w:val="24"/>
              </w:rPr>
            </w:pPr>
            <w:r>
              <w:rPr>
                <w:b/>
                <w:sz w:val="24"/>
                <w:szCs w:val="24"/>
              </w:rPr>
              <w:t>其中：环保投资(万元)</w:t>
            </w:r>
          </w:p>
        </w:tc>
        <w:tc>
          <w:tcPr>
            <w:tcW w:w="1288" w:type="dxa"/>
            <w:vAlign w:val="center"/>
          </w:tcPr>
          <w:p>
            <w:pPr>
              <w:spacing w:line="360" w:lineRule="auto"/>
              <w:jc w:val="center"/>
              <w:rPr>
                <w:sz w:val="24"/>
                <w:szCs w:val="24"/>
                <w:highlight w:val="yellow"/>
              </w:rPr>
            </w:pPr>
            <w:r>
              <w:rPr>
                <w:rFonts w:hint="eastAsia"/>
                <w:sz w:val="24"/>
                <w:szCs w:val="24"/>
              </w:rPr>
              <w:t>1</w:t>
            </w:r>
            <w:r>
              <w:rPr>
                <w:sz w:val="24"/>
                <w:szCs w:val="24"/>
              </w:rPr>
              <w:t>08</w:t>
            </w:r>
          </w:p>
        </w:tc>
        <w:tc>
          <w:tcPr>
            <w:tcW w:w="1403" w:type="dxa"/>
            <w:gridSpan w:val="2"/>
            <w:tcBorders>
              <w:right w:val="single" w:color="auto" w:sz="6" w:space="0"/>
            </w:tcBorders>
            <w:vAlign w:val="center"/>
          </w:tcPr>
          <w:p>
            <w:pPr>
              <w:spacing w:line="360" w:lineRule="auto"/>
              <w:jc w:val="center"/>
              <w:rPr>
                <w:b/>
                <w:sz w:val="24"/>
                <w:szCs w:val="24"/>
              </w:rPr>
            </w:pPr>
            <w:r>
              <w:rPr>
                <w:b/>
                <w:sz w:val="24"/>
                <w:szCs w:val="24"/>
              </w:rPr>
              <w:t>环保投资占总投资比例</w:t>
            </w:r>
          </w:p>
        </w:tc>
        <w:tc>
          <w:tcPr>
            <w:tcW w:w="1409" w:type="dxa"/>
            <w:tcBorders>
              <w:left w:val="single" w:color="auto" w:sz="6" w:space="0"/>
            </w:tcBorders>
            <w:vAlign w:val="center"/>
          </w:tcPr>
          <w:p>
            <w:pPr>
              <w:spacing w:line="360" w:lineRule="auto"/>
              <w:ind w:hanging="2"/>
              <w:jc w:val="center"/>
              <w:rPr>
                <w:sz w:val="24"/>
                <w:szCs w:val="24"/>
              </w:rPr>
            </w:pPr>
            <w:r>
              <w:rPr>
                <w:rFonts w:hint="eastAsia"/>
                <w:sz w:val="24"/>
                <w:szCs w:val="24"/>
              </w:rPr>
              <w:t>4</w:t>
            </w:r>
            <w:r>
              <w:rPr>
                <w:sz w:val="24"/>
                <w:szCs w:val="24"/>
              </w:rPr>
              <w:t>.2</w:t>
            </w:r>
            <w:r>
              <w:rPr>
                <w:rFonts w:hint="eastAsia"/>
                <w:sz w:val="24"/>
                <w:szCs w:val="24"/>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00" w:hRule="atLeast"/>
        </w:trPr>
        <w:tc>
          <w:tcPr>
            <w:tcW w:w="1310" w:type="dxa"/>
            <w:vAlign w:val="center"/>
          </w:tcPr>
          <w:p>
            <w:pPr>
              <w:spacing w:line="360" w:lineRule="auto"/>
              <w:jc w:val="center"/>
              <w:rPr>
                <w:b/>
                <w:sz w:val="24"/>
                <w:szCs w:val="24"/>
              </w:rPr>
            </w:pPr>
            <w:r>
              <w:rPr>
                <w:b/>
                <w:sz w:val="24"/>
                <w:szCs w:val="24"/>
              </w:rPr>
              <w:t>评价经费</w:t>
            </w:r>
          </w:p>
          <w:p>
            <w:pPr>
              <w:spacing w:line="360" w:lineRule="auto"/>
              <w:jc w:val="center"/>
              <w:rPr>
                <w:b/>
                <w:sz w:val="24"/>
                <w:szCs w:val="24"/>
              </w:rPr>
            </w:pPr>
            <w:r>
              <w:rPr>
                <w:b/>
                <w:sz w:val="24"/>
                <w:szCs w:val="24"/>
              </w:rPr>
              <w:t>(万元)</w:t>
            </w:r>
          </w:p>
        </w:tc>
        <w:tc>
          <w:tcPr>
            <w:tcW w:w="2106" w:type="dxa"/>
            <w:vAlign w:val="center"/>
          </w:tcPr>
          <w:p>
            <w:pPr>
              <w:spacing w:line="360" w:lineRule="auto"/>
              <w:jc w:val="center"/>
              <w:rPr>
                <w:sz w:val="24"/>
                <w:szCs w:val="24"/>
              </w:rPr>
            </w:pPr>
            <w:r>
              <w:rPr>
                <w:rFonts w:hint="eastAsia"/>
                <w:sz w:val="24"/>
                <w:szCs w:val="24"/>
              </w:rPr>
              <w:t>/</w:t>
            </w:r>
          </w:p>
        </w:tc>
        <w:tc>
          <w:tcPr>
            <w:tcW w:w="2708" w:type="dxa"/>
            <w:gridSpan w:val="3"/>
            <w:vAlign w:val="center"/>
          </w:tcPr>
          <w:p>
            <w:pPr>
              <w:spacing w:line="360" w:lineRule="auto"/>
              <w:ind w:firstLine="241" w:firstLineChars="100"/>
              <w:jc w:val="center"/>
              <w:rPr>
                <w:b/>
                <w:sz w:val="24"/>
                <w:szCs w:val="24"/>
              </w:rPr>
            </w:pPr>
            <w:r>
              <w:rPr>
                <w:b/>
                <w:sz w:val="24"/>
                <w:szCs w:val="24"/>
              </w:rPr>
              <w:t>预期投产日期</w:t>
            </w:r>
          </w:p>
        </w:tc>
        <w:tc>
          <w:tcPr>
            <w:tcW w:w="2812" w:type="dxa"/>
            <w:gridSpan w:val="3"/>
            <w:tcBorders>
              <w:left w:val="single" w:color="auto" w:sz="6" w:space="0"/>
            </w:tcBorders>
            <w:vAlign w:val="center"/>
          </w:tcPr>
          <w:p>
            <w:pPr>
              <w:spacing w:line="360" w:lineRule="auto"/>
              <w:ind w:firstLine="235" w:firstLineChars="98"/>
              <w:jc w:val="center"/>
              <w:rPr>
                <w:sz w:val="24"/>
                <w:szCs w:val="24"/>
              </w:rPr>
            </w:pPr>
            <w:r>
              <w:rPr>
                <w:rFonts w:hint="eastAsia"/>
                <w:sz w:val="24"/>
                <w:szCs w:val="24"/>
              </w:rPr>
              <w:t>2</w:t>
            </w:r>
            <w:r>
              <w:rPr>
                <w:sz w:val="24"/>
                <w:szCs w:val="24"/>
              </w:rPr>
              <w:t>020</w:t>
            </w:r>
            <w:r>
              <w:rPr>
                <w:rFonts w:hint="eastAsia"/>
                <w:sz w:val="24"/>
                <w:szCs w:val="24"/>
              </w:rPr>
              <w:t>年6月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8936" w:type="dxa"/>
            <w:gridSpan w:val="8"/>
            <w:vAlign w:val="center"/>
          </w:tcPr>
          <w:p>
            <w:pPr>
              <w:spacing w:line="360" w:lineRule="auto"/>
              <w:rPr>
                <w:b/>
                <w:sz w:val="24"/>
                <w:szCs w:val="24"/>
              </w:rPr>
            </w:pPr>
            <w:r>
              <w:rPr>
                <w:b/>
                <w:sz w:val="24"/>
                <w:szCs w:val="24"/>
              </w:rPr>
              <w:t>工程内容及规模：</w:t>
            </w:r>
          </w:p>
          <w:p>
            <w:pPr>
              <w:spacing w:line="360" w:lineRule="auto"/>
              <w:ind w:firstLine="482"/>
              <w:rPr>
                <w:b/>
                <w:sz w:val="24"/>
                <w:szCs w:val="24"/>
              </w:rPr>
            </w:pPr>
            <w:r>
              <w:rPr>
                <w:b/>
                <w:sz w:val="24"/>
                <w:szCs w:val="24"/>
              </w:rPr>
              <w:t>1、</w:t>
            </w:r>
            <w:r>
              <w:rPr>
                <w:rFonts w:hint="eastAsia"/>
                <w:b/>
                <w:sz w:val="24"/>
                <w:szCs w:val="24"/>
              </w:rPr>
              <w:t>项目背景</w:t>
            </w:r>
          </w:p>
          <w:p>
            <w:pPr>
              <w:spacing w:line="360" w:lineRule="auto"/>
              <w:ind w:firstLine="480" w:firstLineChars="200"/>
              <w:rPr>
                <w:bCs/>
                <w:kern w:val="2"/>
                <w:sz w:val="24"/>
                <w:szCs w:val="24"/>
              </w:rPr>
            </w:pPr>
            <w:r>
              <w:rPr>
                <w:rFonts w:hint="eastAsia"/>
                <w:sz w:val="24"/>
                <w:szCs w:val="24"/>
              </w:rPr>
              <w:t>承德市鹰手营子矿区利民环卫清洁有限责任公司拟建“</w:t>
            </w:r>
            <w:r>
              <w:rPr>
                <w:rFonts w:hint="eastAsia"/>
                <w:sz w:val="24"/>
                <w:szCs w:val="24"/>
                <w:lang w:eastAsia="zh-CN"/>
              </w:rPr>
              <w:t>承德市鹰手营子矿区生活垃圾中转站工程</w:t>
            </w:r>
            <w:bookmarkStart w:id="20" w:name="_GoBack"/>
            <w:bookmarkEnd w:id="20"/>
            <w:r>
              <w:rPr>
                <w:rFonts w:hint="eastAsia"/>
                <w:sz w:val="24"/>
                <w:szCs w:val="24"/>
              </w:rPr>
              <w:t>项目”</w:t>
            </w:r>
            <w:r>
              <w:rPr>
                <w:rFonts w:hint="eastAsia"/>
                <w:bCs/>
                <w:kern w:val="2"/>
                <w:sz w:val="24"/>
                <w:szCs w:val="24"/>
              </w:rPr>
              <w:t>。</w:t>
            </w:r>
            <w:r>
              <w:rPr>
                <w:rFonts w:hint="eastAsia"/>
                <w:bCs/>
                <w:kern w:val="2"/>
                <w:sz w:val="24"/>
                <w:szCs w:val="24"/>
                <w:lang w:eastAsia="zh-CN"/>
              </w:rPr>
              <w:t>承德市鹰手营子矿区生活垃圾中转站工程项目</w:t>
            </w:r>
            <w:r>
              <w:rPr>
                <w:rFonts w:hint="eastAsia"/>
                <w:bCs/>
                <w:kern w:val="2"/>
                <w:sz w:val="24"/>
                <w:szCs w:val="24"/>
              </w:rPr>
              <w:t>的收集方式主要有三类：一是垃圾袋装化收集，在居民小区、机关事业单位、商业网点、临街门店普遍采用了垃圾袋装化，由环卫车辆每天两次上门收集；二是定时定点收集，在城区主次干道设置垃圾箱、垃圾池，在农村居民点设置可装卸式垃圾箱，定时定点收集垃圾；三是设果皮箱及环卫工人定点上门收集临时性垃圾。由人力平板车及保洁小三轮车从分散点收集上来的垃圾散装到垃圾运输车辆上，统一运往垃圾填埋场进行填埋处理。</w:t>
            </w:r>
          </w:p>
          <w:p>
            <w:pPr>
              <w:spacing w:line="360" w:lineRule="auto"/>
              <w:ind w:firstLine="480" w:firstLineChars="200"/>
              <w:rPr>
                <w:bCs/>
                <w:kern w:val="2"/>
                <w:sz w:val="24"/>
                <w:szCs w:val="24"/>
              </w:rPr>
            </w:pPr>
            <w:r>
              <w:rPr>
                <w:bCs/>
                <w:kern w:val="2"/>
                <w:sz w:val="24"/>
                <w:szCs w:val="24"/>
              </w:rPr>
              <w:t>依据《中华人民共和国环境影响评价法》、《建设项目环境保护管理条例》</w:t>
            </w:r>
            <w:r>
              <w:rPr>
                <w:bCs/>
                <w:sz w:val="24"/>
              </w:rPr>
              <w:t>（国务院第</w:t>
            </w:r>
            <w:r>
              <w:rPr>
                <w:rFonts w:hint="eastAsia"/>
                <w:bCs/>
                <w:sz w:val="24"/>
              </w:rPr>
              <w:t>682</w:t>
            </w:r>
            <w:r>
              <w:rPr>
                <w:bCs/>
                <w:sz w:val="24"/>
              </w:rPr>
              <w:t>号令）</w:t>
            </w:r>
            <w:r>
              <w:rPr>
                <w:bCs/>
                <w:kern w:val="2"/>
                <w:sz w:val="24"/>
                <w:szCs w:val="24"/>
              </w:rPr>
              <w:t>以及《建设项目环境影响评价分类管理名录》</w:t>
            </w:r>
            <w:r>
              <w:rPr>
                <w:bCs/>
                <w:sz w:val="24"/>
              </w:rPr>
              <w:t>（生态环境部部令第1号）中的有关规定</w:t>
            </w:r>
            <w:r>
              <w:rPr>
                <w:bCs/>
                <w:kern w:val="2"/>
                <w:sz w:val="24"/>
                <w:szCs w:val="24"/>
              </w:rPr>
              <w:t>，该项目</w:t>
            </w:r>
            <w:r>
              <w:rPr>
                <w:rFonts w:hint="eastAsia"/>
                <w:bCs/>
                <w:kern w:val="2"/>
                <w:sz w:val="24"/>
                <w:szCs w:val="24"/>
              </w:rPr>
              <w:t>属</w:t>
            </w:r>
            <w:r>
              <w:rPr>
                <w:bCs/>
                <w:kern w:val="2"/>
                <w:sz w:val="24"/>
                <w:szCs w:val="24"/>
              </w:rPr>
              <w:t>“</w:t>
            </w:r>
            <w:r>
              <w:rPr>
                <w:rFonts w:hint="eastAsia"/>
                <w:bCs/>
                <w:kern w:val="2"/>
                <w:sz w:val="24"/>
                <w:szCs w:val="24"/>
              </w:rPr>
              <w:t xml:space="preserve">三十五、公共设施管理业 </w:t>
            </w:r>
            <w:r>
              <w:rPr>
                <w:bCs/>
                <w:kern w:val="2"/>
                <w:sz w:val="24"/>
                <w:szCs w:val="24"/>
              </w:rPr>
              <w:t>103</w:t>
            </w:r>
            <w:r>
              <w:rPr>
                <w:rFonts w:hint="eastAsia"/>
                <w:bCs/>
                <w:kern w:val="2"/>
                <w:sz w:val="24"/>
                <w:szCs w:val="24"/>
              </w:rPr>
              <w:t xml:space="preserve"> 城镇生活垃圾转运站</w:t>
            </w:r>
            <w:r>
              <w:rPr>
                <w:bCs/>
                <w:kern w:val="2"/>
                <w:sz w:val="24"/>
                <w:szCs w:val="24"/>
              </w:rPr>
              <w:t>”</w:t>
            </w:r>
            <w:r>
              <w:rPr>
                <w:rFonts w:hint="eastAsia"/>
                <w:bCs/>
                <w:kern w:val="2"/>
                <w:sz w:val="24"/>
                <w:szCs w:val="24"/>
              </w:rPr>
              <w:t>，</w:t>
            </w:r>
            <w:r>
              <w:rPr>
                <w:bCs/>
                <w:kern w:val="2"/>
                <w:sz w:val="24"/>
                <w:szCs w:val="24"/>
              </w:rPr>
              <w:t>应编制环境影响报告表。</w:t>
            </w:r>
            <w:r>
              <w:rPr>
                <w:rFonts w:hint="eastAsia"/>
                <w:bCs/>
                <w:kern w:val="2"/>
                <w:sz w:val="24"/>
                <w:szCs w:val="24"/>
              </w:rPr>
              <w:t>因此</w:t>
            </w:r>
            <w:r>
              <w:rPr>
                <w:bCs/>
                <w:kern w:val="2"/>
                <w:sz w:val="24"/>
                <w:szCs w:val="24"/>
              </w:rPr>
              <w:t>，</w:t>
            </w:r>
            <w:r>
              <w:rPr>
                <w:rFonts w:hint="eastAsia"/>
                <w:sz w:val="24"/>
                <w:szCs w:val="24"/>
              </w:rPr>
              <w:t>承德市鹰手营子矿区利民环卫清洁有限责任公司</w:t>
            </w:r>
            <w:r>
              <w:rPr>
                <w:bCs/>
                <w:kern w:val="2"/>
                <w:sz w:val="24"/>
                <w:szCs w:val="24"/>
              </w:rPr>
              <w:t>委托</w:t>
            </w:r>
            <w:r>
              <w:rPr>
                <w:rFonts w:hint="eastAsia"/>
                <w:bCs/>
                <w:kern w:val="2"/>
                <w:sz w:val="24"/>
                <w:szCs w:val="24"/>
              </w:rPr>
              <w:t>河北正润环境科技有限公司</w:t>
            </w:r>
            <w:r>
              <w:rPr>
                <w:bCs/>
                <w:kern w:val="2"/>
                <w:sz w:val="24"/>
                <w:szCs w:val="24"/>
              </w:rPr>
              <w:t>进行本项目的环境影响评价工作。接受委托后，我</w:t>
            </w:r>
            <w:r>
              <w:rPr>
                <w:rFonts w:hint="eastAsia"/>
                <w:bCs/>
                <w:kern w:val="2"/>
                <w:sz w:val="24"/>
                <w:szCs w:val="24"/>
              </w:rPr>
              <w:t>公司</w:t>
            </w:r>
            <w:r>
              <w:rPr>
                <w:bCs/>
                <w:kern w:val="2"/>
                <w:sz w:val="24"/>
                <w:szCs w:val="24"/>
              </w:rPr>
              <w:t>组织技术人员进行了详细的现场踏勘和资料收集，编制完成了本项目的环境影响报告表。</w:t>
            </w:r>
          </w:p>
          <w:p>
            <w:pPr>
              <w:spacing w:line="360" w:lineRule="auto"/>
              <w:ind w:firstLine="482"/>
              <w:rPr>
                <w:b/>
                <w:sz w:val="24"/>
                <w:szCs w:val="24"/>
              </w:rPr>
            </w:pPr>
            <w:r>
              <w:rPr>
                <w:b/>
                <w:sz w:val="24"/>
                <w:szCs w:val="24"/>
              </w:rPr>
              <w:t>2、项目概况</w:t>
            </w:r>
          </w:p>
          <w:p>
            <w:pPr>
              <w:spacing w:line="360" w:lineRule="auto"/>
              <w:ind w:firstLine="480" w:firstLineChars="200"/>
              <w:rPr>
                <w:rFonts w:hint="eastAsia" w:eastAsia="宋体"/>
                <w:bCs/>
                <w:kern w:val="2"/>
                <w:sz w:val="24"/>
                <w:szCs w:val="24"/>
                <w:lang w:eastAsia="zh-CN"/>
              </w:rPr>
            </w:pPr>
            <w:r>
              <w:rPr>
                <w:bCs/>
                <w:kern w:val="2"/>
                <w:sz w:val="24"/>
                <w:szCs w:val="24"/>
              </w:rPr>
              <w:t>项目名称：</w:t>
            </w:r>
            <w:r>
              <w:rPr>
                <w:rFonts w:hint="eastAsia"/>
                <w:sz w:val="24"/>
                <w:szCs w:val="24"/>
                <w:lang w:eastAsia="zh-CN"/>
              </w:rPr>
              <w:t>承德市鹰手营子矿区生活垃圾中转站工程项目</w:t>
            </w:r>
          </w:p>
          <w:p>
            <w:pPr>
              <w:spacing w:line="360" w:lineRule="auto"/>
              <w:ind w:firstLine="480" w:firstLineChars="200"/>
              <w:rPr>
                <w:bCs/>
                <w:kern w:val="2"/>
                <w:sz w:val="24"/>
                <w:szCs w:val="24"/>
              </w:rPr>
            </w:pPr>
            <w:r>
              <w:rPr>
                <w:bCs/>
                <w:kern w:val="2"/>
                <w:sz w:val="24"/>
                <w:szCs w:val="24"/>
              </w:rPr>
              <w:t>建设性质：</w:t>
            </w:r>
            <w:r>
              <w:rPr>
                <w:rFonts w:hint="eastAsia"/>
                <w:bCs/>
                <w:kern w:val="2"/>
                <w:sz w:val="24"/>
                <w:szCs w:val="24"/>
              </w:rPr>
              <w:t>新</w:t>
            </w:r>
            <w:r>
              <w:rPr>
                <w:bCs/>
                <w:kern w:val="2"/>
                <w:sz w:val="24"/>
                <w:szCs w:val="24"/>
              </w:rPr>
              <w:t>建</w:t>
            </w:r>
          </w:p>
          <w:p>
            <w:pPr>
              <w:spacing w:line="360" w:lineRule="auto"/>
              <w:ind w:firstLine="480" w:firstLineChars="200"/>
              <w:rPr>
                <w:bCs/>
                <w:kern w:val="2"/>
                <w:sz w:val="24"/>
                <w:szCs w:val="24"/>
              </w:rPr>
            </w:pPr>
            <w:r>
              <w:rPr>
                <w:bCs/>
                <w:kern w:val="2"/>
                <w:sz w:val="24"/>
                <w:szCs w:val="24"/>
              </w:rPr>
              <w:t>建设单位：</w:t>
            </w:r>
            <w:r>
              <w:rPr>
                <w:rFonts w:hint="eastAsia"/>
                <w:sz w:val="24"/>
                <w:szCs w:val="24"/>
              </w:rPr>
              <w:t>承德市鹰手营子矿区利民环卫清洁有限责任公司</w:t>
            </w:r>
          </w:p>
          <w:p>
            <w:pPr>
              <w:spacing w:line="360" w:lineRule="auto"/>
              <w:ind w:firstLine="480" w:firstLineChars="200"/>
              <w:rPr>
                <w:bCs/>
                <w:sz w:val="24"/>
              </w:rPr>
            </w:pPr>
            <w:r>
              <w:rPr>
                <w:rFonts w:hint="eastAsia"/>
                <w:bCs/>
                <w:sz w:val="24"/>
              </w:rPr>
              <w:t>建设内容及规模：本项目于承德市鹰手营子矿区主城区建设规模为1</w:t>
            </w:r>
            <w:r>
              <w:rPr>
                <w:bCs/>
                <w:sz w:val="24"/>
              </w:rPr>
              <w:t>20</w:t>
            </w:r>
            <w:r>
              <w:rPr>
                <w:rFonts w:hint="eastAsia"/>
                <w:bCs/>
                <w:sz w:val="24"/>
              </w:rPr>
              <w:t>t/d垃圾转运站1座；于寿王坟镇建设规模为2</w:t>
            </w:r>
            <w:r>
              <w:rPr>
                <w:bCs/>
                <w:sz w:val="24"/>
              </w:rPr>
              <w:t>0</w:t>
            </w:r>
            <w:r>
              <w:rPr>
                <w:rFonts w:hint="eastAsia"/>
                <w:bCs/>
                <w:sz w:val="24"/>
              </w:rPr>
              <w:t>t</w:t>
            </w:r>
            <w:r>
              <w:rPr>
                <w:bCs/>
                <w:sz w:val="24"/>
              </w:rPr>
              <w:t>/</w:t>
            </w:r>
            <w:r>
              <w:rPr>
                <w:rFonts w:hint="eastAsia"/>
                <w:bCs/>
                <w:sz w:val="24"/>
              </w:rPr>
              <w:t>d垃圾转运站1座。</w:t>
            </w:r>
          </w:p>
          <w:p>
            <w:pPr>
              <w:spacing w:line="360" w:lineRule="auto"/>
              <w:ind w:firstLine="480" w:firstLineChars="200"/>
              <w:rPr>
                <w:sz w:val="24"/>
                <w:szCs w:val="24"/>
              </w:rPr>
            </w:pPr>
            <w:r>
              <w:rPr>
                <w:rFonts w:hint="eastAsia"/>
                <w:bCs/>
                <w:sz w:val="24"/>
              </w:rPr>
              <w:t>建设地点：本项目位于承德市鹰手营子矿区，于主城区及寿王坟镇分别建设一座垃圾转运站。主城区垃圾转运站中心坐标为：</w:t>
            </w:r>
            <w:r>
              <w:rPr>
                <w:rFonts w:hint="eastAsia"/>
                <w:sz w:val="24"/>
                <w:szCs w:val="24"/>
              </w:rPr>
              <w:t>北纬：</w:t>
            </w:r>
            <w:r>
              <w:rPr>
                <w:rFonts w:hint="eastAsia"/>
                <w:sz w:val="24"/>
              </w:rPr>
              <w:t>40</w:t>
            </w:r>
            <w:r>
              <w:rPr>
                <w:sz w:val="24"/>
              </w:rPr>
              <w:t>°</w:t>
            </w:r>
            <w:r>
              <w:rPr>
                <w:rFonts w:hint="eastAsia"/>
                <w:sz w:val="24"/>
              </w:rPr>
              <w:t>32</w:t>
            </w:r>
            <w:r>
              <w:rPr>
                <w:sz w:val="24"/>
              </w:rPr>
              <w:t>′</w:t>
            </w:r>
            <w:r>
              <w:rPr>
                <w:rFonts w:hint="eastAsia"/>
                <w:sz w:val="24"/>
              </w:rPr>
              <w:t>24</w:t>
            </w:r>
            <w:r>
              <w:rPr>
                <w:sz w:val="24"/>
              </w:rPr>
              <w:t>″</w:t>
            </w:r>
            <w:r>
              <w:rPr>
                <w:rFonts w:hint="eastAsia"/>
                <w:sz w:val="24"/>
                <w:szCs w:val="24"/>
              </w:rPr>
              <w:t>、东经：</w:t>
            </w:r>
            <w:r>
              <w:rPr>
                <w:rFonts w:hint="eastAsia"/>
                <w:sz w:val="24"/>
              </w:rPr>
              <w:t>117</w:t>
            </w:r>
            <w:r>
              <w:rPr>
                <w:sz w:val="24"/>
              </w:rPr>
              <w:t>°</w:t>
            </w:r>
            <w:r>
              <w:rPr>
                <w:rFonts w:hint="eastAsia"/>
                <w:sz w:val="24"/>
              </w:rPr>
              <w:t>41</w:t>
            </w:r>
            <w:r>
              <w:rPr>
                <w:sz w:val="24"/>
              </w:rPr>
              <w:t>′</w:t>
            </w:r>
            <w:r>
              <w:rPr>
                <w:rFonts w:hint="eastAsia"/>
                <w:sz w:val="24"/>
              </w:rPr>
              <w:t>24</w:t>
            </w:r>
            <w:r>
              <w:rPr>
                <w:sz w:val="24"/>
              </w:rPr>
              <w:t>″</w:t>
            </w:r>
            <w:r>
              <w:rPr>
                <w:rFonts w:hint="eastAsia"/>
                <w:sz w:val="24"/>
                <w:szCs w:val="24"/>
              </w:rPr>
              <w:t>，位于</w:t>
            </w:r>
            <w:r>
              <w:rPr>
                <w:sz w:val="24"/>
                <w:szCs w:val="24"/>
              </w:rPr>
              <w:t>主城区以东3公里、柳河</w:t>
            </w:r>
            <w:r>
              <w:rPr>
                <w:rFonts w:hint="eastAsia"/>
                <w:sz w:val="24"/>
                <w:szCs w:val="24"/>
              </w:rPr>
              <w:t>以南</w:t>
            </w:r>
            <w:r>
              <w:rPr>
                <w:sz w:val="24"/>
                <w:szCs w:val="24"/>
              </w:rPr>
              <w:t>约1公里</w:t>
            </w:r>
            <w:r>
              <w:rPr>
                <w:rFonts w:hint="eastAsia"/>
                <w:sz w:val="24"/>
                <w:szCs w:val="24"/>
              </w:rPr>
              <w:t>；寿王坟镇</w:t>
            </w:r>
            <w:r>
              <w:rPr>
                <w:rFonts w:hint="eastAsia"/>
                <w:bCs/>
                <w:sz w:val="24"/>
              </w:rPr>
              <w:t>垃圾转运站中心坐标为：</w:t>
            </w:r>
            <w:r>
              <w:rPr>
                <w:rFonts w:hint="eastAsia"/>
                <w:sz w:val="24"/>
                <w:szCs w:val="24"/>
              </w:rPr>
              <w:t>北纬：</w:t>
            </w:r>
            <w:r>
              <w:rPr>
                <w:rFonts w:hint="eastAsia"/>
                <w:sz w:val="24"/>
              </w:rPr>
              <w:t>40</w:t>
            </w:r>
            <w:r>
              <w:rPr>
                <w:sz w:val="24"/>
              </w:rPr>
              <w:t>°</w:t>
            </w:r>
            <w:r>
              <w:rPr>
                <w:rFonts w:hint="eastAsia"/>
                <w:sz w:val="24"/>
              </w:rPr>
              <w:t>36</w:t>
            </w:r>
            <w:r>
              <w:rPr>
                <w:sz w:val="24"/>
              </w:rPr>
              <w:t>′</w:t>
            </w:r>
            <w:r>
              <w:rPr>
                <w:rFonts w:hint="eastAsia"/>
                <w:sz w:val="24"/>
              </w:rPr>
              <w:t>00</w:t>
            </w:r>
            <w:r>
              <w:rPr>
                <w:sz w:val="24"/>
              </w:rPr>
              <w:t>″</w:t>
            </w:r>
            <w:r>
              <w:rPr>
                <w:rFonts w:hint="eastAsia"/>
                <w:sz w:val="24"/>
                <w:szCs w:val="24"/>
              </w:rPr>
              <w:t>、东经：</w:t>
            </w:r>
            <w:r>
              <w:rPr>
                <w:rFonts w:hint="eastAsia"/>
                <w:sz w:val="24"/>
              </w:rPr>
              <w:t>117</w:t>
            </w:r>
            <w:r>
              <w:rPr>
                <w:sz w:val="24"/>
              </w:rPr>
              <w:t>°</w:t>
            </w:r>
            <w:r>
              <w:rPr>
                <w:rFonts w:hint="eastAsia"/>
                <w:sz w:val="24"/>
              </w:rPr>
              <w:t>46</w:t>
            </w:r>
            <w:r>
              <w:rPr>
                <w:sz w:val="24"/>
              </w:rPr>
              <w:t>′</w:t>
            </w:r>
            <w:r>
              <w:rPr>
                <w:rFonts w:hint="eastAsia"/>
                <w:sz w:val="24"/>
              </w:rPr>
              <w:t>12</w:t>
            </w:r>
            <w:r>
              <w:rPr>
                <w:sz w:val="24"/>
              </w:rPr>
              <w:t>″</w:t>
            </w:r>
            <w:r>
              <w:rPr>
                <w:rFonts w:hint="eastAsia"/>
                <w:sz w:val="24"/>
                <w:szCs w:val="24"/>
              </w:rPr>
              <w:t>，位于</w:t>
            </w:r>
            <w:r>
              <w:rPr>
                <w:sz w:val="24"/>
                <w:szCs w:val="24"/>
              </w:rPr>
              <w:t>寿王坟镇污水处理厂</w:t>
            </w:r>
            <w:r>
              <w:rPr>
                <w:rFonts w:hint="eastAsia"/>
                <w:sz w:val="24"/>
                <w:szCs w:val="24"/>
              </w:rPr>
              <w:t>西侧3</w:t>
            </w:r>
            <w:r>
              <w:rPr>
                <w:sz w:val="24"/>
                <w:szCs w:val="24"/>
              </w:rPr>
              <w:t>0</w:t>
            </w:r>
            <w:r>
              <w:rPr>
                <w:rFonts w:hint="eastAsia"/>
                <w:sz w:val="24"/>
                <w:szCs w:val="24"/>
              </w:rPr>
              <w:t>m。项目周边环境见图1及图2，</w:t>
            </w:r>
            <w:r>
              <w:rPr>
                <w:sz w:val="24"/>
                <w:szCs w:val="24"/>
              </w:rPr>
              <w:t xml:space="preserve">项目地理位置见附图1。 </w:t>
            </w:r>
          </w:p>
          <w:p>
            <w:pPr>
              <w:spacing w:line="360" w:lineRule="auto"/>
              <w:rPr>
                <w:sz w:val="24"/>
                <w:szCs w:val="24"/>
              </w:rPr>
            </w:pPr>
            <w:r>
              <w:rPr>
                <w:rFonts w:hint="eastAsia"/>
                <w:sz w:val="24"/>
                <w:szCs w:val="24"/>
              </w:rPr>
              <w:drawing>
                <wp:inline distT="0" distB="0" distL="0" distR="0">
                  <wp:extent cx="2676525" cy="35687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88785" cy="3585155"/>
                          </a:xfrm>
                          <a:prstGeom prst="rect">
                            <a:avLst/>
                          </a:prstGeom>
                        </pic:spPr>
                      </pic:pic>
                    </a:graphicData>
                  </a:graphic>
                </wp:inline>
              </w:drawing>
            </w:r>
            <w:r>
              <w:rPr>
                <w:sz w:val="24"/>
                <w:szCs w:val="24"/>
              </w:rPr>
              <w:t xml:space="preserve"> </w:t>
            </w:r>
            <w:r>
              <w:rPr>
                <w:sz w:val="24"/>
                <w:szCs w:val="24"/>
              </w:rPr>
              <w:drawing>
                <wp:inline distT="0" distB="0" distL="0" distR="0">
                  <wp:extent cx="2713990" cy="357060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4985" cy="3585179"/>
                          </a:xfrm>
                          <a:prstGeom prst="rect">
                            <a:avLst/>
                          </a:prstGeom>
                        </pic:spPr>
                      </pic:pic>
                    </a:graphicData>
                  </a:graphic>
                </wp:inline>
              </w:drawing>
            </w:r>
            <w:r>
              <w:rPr>
                <w:sz w:val="24"/>
                <w:szCs w:val="24"/>
              </w:rPr>
              <w:t xml:space="preserve"> </w:t>
            </w:r>
            <w:r>
              <w:rPr>
                <w:rFonts w:hint="eastAsia"/>
                <w:sz w:val="24"/>
                <w:szCs w:val="24"/>
              </w:rPr>
              <w:drawing>
                <wp:inline distT="0" distB="0" distL="0" distR="0">
                  <wp:extent cx="2716530" cy="3312160"/>
                  <wp:effectExtent l="0" t="0" r="762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34266" cy="3312160"/>
                          </a:xfrm>
                          <a:prstGeom prst="rect">
                            <a:avLst/>
                          </a:prstGeom>
                        </pic:spPr>
                      </pic:pic>
                    </a:graphicData>
                  </a:graphic>
                </wp:inline>
              </w:drawing>
            </w:r>
            <w:r>
              <w:rPr>
                <w:sz w:val="24"/>
                <w:szCs w:val="24"/>
              </w:rPr>
              <w:t xml:space="preserve"> </w:t>
            </w:r>
            <w:r>
              <w:rPr>
                <w:rFonts w:hint="eastAsia"/>
                <w:sz w:val="24"/>
                <w:szCs w:val="24"/>
              </w:rPr>
              <w:drawing>
                <wp:inline distT="0" distB="0" distL="0" distR="0">
                  <wp:extent cx="2675255" cy="3292475"/>
                  <wp:effectExtent l="0" t="0" r="10795"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5255" cy="3292475"/>
                          </a:xfrm>
                          <a:prstGeom prst="rect">
                            <a:avLst/>
                          </a:prstGeom>
                        </pic:spPr>
                      </pic:pic>
                    </a:graphicData>
                  </a:graphic>
                </wp:inline>
              </w:drawing>
            </w:r>
          </w:p>
          <w:p>
            <w:pPr>
              <w:spacing w:line="360" w:lineRule="auto"/>
              <w:jc w:val="center"/>
              <w:rPr>
                <w:sz w:val="24"/>
                <w:szCs w:val="24"/>
              </w:rPr>
            </w:pPr>
            <w:r>
              <w:rPr>
                <w:sz w:val="24"/>
                <w:szCs w:val="24"/>
              </w:rPr>
              <w:t>图1 主城区垃圾转运站周边环境图</w:t>
            </w:r>
          </w:p>
          <w:p>
            <w:pPr>
              <w:spacing w:line="360" w:lineRule="auto"/>
              <w:jc w:val="left"/>
              <w:rPr>
                <w:b/>
                <w:sz w:val="24"/>
                <w:szCs w:val="24"/>
              </w:rPr>
            </w:pPr>
            <w:r>
              <w:rPr>
                <w:rFonts w:hint="eastAsia"/>
                <w:b/>
                <w:sz w:val="24"/>
                <w:szCs w:val="24"/>
              </w:rPr>
              <w:drawing>
                <wp:inline distT="0" distB="0" distL="0" distR="0">
                  <wp:extent cx="2705100" cy="3752215"/>
                  <wp:effectExtent l="0" t="0" r="0" b="6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8591" cy="3757382"/>
                          </a:xfrm>
                          <a:prstGeom prst="rect">
                            <a:avLst/>
                          </a:prstGeom>
                        </pic:spPr>
                      </pic:pic>
                    </a:graphicData>
                  </a:graphic>
                </wp:inline>
              </w:drawing>
            </w:r>
            <w:r>
              <w:rPr>
                <w:b/>
                <w:sz w:val="24"/>
                <w:szCs w:val="24"/>
              </w:rPr>
              <w:t xml:space="preserve"> </w:t>
            </w:r>
            <w:r>
              <w:rPr>
                <w:rFonts w:hint="eastAsia"/>
                <w:b/>
                <w:sz w:val="24"/>
                <w:szCs w:val="24"/>
              </w:rPr>
              <w:drawing>
                <wp:inline distT="0" distB="0" distL="0" distR="0">
                  <wp:extent cx="2685415" cy="3761740"/>
                  <wp:effectExtent l="0" t="0" r="63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1713" cy="3769988"/>
                          </a:xfrm>
                          <a:prstGeom prst="rect">
                            <a:avLst/>
                          </a:prstGeom>
                        </pic:spPr>
                      </pic:pic>
                    </a:graphicData>
                  </a:graphic>
                </wp:inline>
              </w:drawing>
            </w:r>
          </w:p>
          <w:p>
            <w:pPr>
              <w:spacing w:line="360" w:lineRule="auto"/>
              <w:jc w:val="left"/>
              <w:rPr>
                <w:b/>
                <w:sz w:val="24"/>
                <w:szCs w:val="24"/>
              </w:rPr>
            </w:pPr>
            <w:r>
              <w:rPr>
                <w:rFonts w:hint="eastAsia"/>
                <w:b/>
                <w:sz w:val="24"/>
                <w:szCs w:val="24"/>
              </w:rPr>
              <w:drawing>
                <wp:inline distT="0" distB="0" distL="0" distR="0">
                  <wp:extent cx="2724150" cy="3523615"/>
                  <wp:effectExtent l="0" t="0" r="0" b="63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8714" cy="3529838"/>
                          </a:xfrm>
                          <a:prstGeom prst="rect">
                            <a:avLst/>
                          </a:prstGeom>
                        </pic:spPr>
                      </pic:pic>
                    </a:graphicData>
                  </a:graphic>
                </wp:inline>
              </w:drawing>
            </w:r>
            <w:r>
              <w:rPr>
                <w:rFonts w:hint="eastAsia"/>
                <w:b/>
                <w:sz w:val="24"/>
                <w:szCs w:val="24"/>
              </w:rPr>
              <w:t xml:space="preserve"> </w:t>
            </w:r>
            <w:r>
              <w:rPr>
                <w:b/>
                <w:sz w:val="24"/>
                <w:szCs w:val="24"/>
              </w:rPr>
              <w:drawing>
                <wp:inline distT="0" distB="0" distL="0" distR="0">
                  <wp:extent cx="2666365" cy="3523615"/>
                  <wp:effectExtent l="0" t="0" r="635"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1147" cy="3529935"/>
                          </a:xfrm>
                          <a:prstGeom prst="rect">
                            <a:avLst/>
                          </a:prstGeom>
                        </pic:spPr>
                      </pic:pic>
                    </a:graphicData>
                  </a:graphic>
                </wp:inline>
              </w:drawing>
            </w:r>
          </w:p>
          <w:p>
            <w:pPr>
              <w:spacing w:line="360" w:lineRule="auto"/>
              <w:jc w:val="center"/>
              <w:rPr>
                <w:sz w:val="24"/>
                <w:szCs w:val="24"/>
              </w:rPr>
            </w:pPr>
            <w:r>
              <w:rPr>
                <w:rFonts w:hint="eastAsia"/>
                <w:sz w:val="24"/>
                <w:szCs w:val="24"/>
              </w:rPr>
              <w:t>图</w:t>
            </w:r>
            <w:r>
              <w:rPr>
                <w:sz w:val="24"/>
                <w:szCs w:val="24"/>
              </w:rPr>
              <w:t xml:space="preserve">2 </w:t>
            </w:r>
            <w:r>
              <w:rPr>
                <w:rFonts w:hint="eastAsia"/>
                <w:sz w:val="24"/>
                <w:szCs w:val="24"/>
              </w:rPr>
              <w:t>寿王坟镇垃圾转运站周边环境图</w:t>
            </w:r>
          </w:p>
          <w:p>
            <w:pPr>
              <w:spacing w:line="360" w:lineRule="auto"/>
              <w:ind w:firstLine="482"/>
              <w:rPr>
                <w:b/>
                <w:sz w:val="24"/>
                <w:szCs w:val="24"/>
              </w:rPr>
            </w:pPr>
            <w:r>
              <w:rPr>
                <w:b/>
                <w:sz w:val="24"/>
                <w:szCs w:val="24"/>
              </w:rPr>
              <w:t>3、建设内容</w:t>
            </w:r>
            <w:r>
              <w:rPr>
                <w:rFonts w:hint="eastAsia"/>
                <w:b/>
                <w:sz w:val="24"/>
                <w:szCs w:val="24"/>
              </w:rPr>
              <w:t>及规模</w:t>
            </w:r>
          </w:p>
          <w:p>
            <w:pPr>
              <w:autoSpaceDE w:val="0"/>
              <w:autoSpaceDN w:val="0"/>
              <w:spacing w:line="360" w:lineRule="auto"/>
              <w:ind w:firstLine="480" w:firstLineChars="200"/>
              <w:jc w:val="left"/>
              <w:textAlignment w:val="auto"/>
              <w:rPr>
                <w:bCs/>
                <w:kern w:val="2"/>
                <w:sz w:val="24"/>
                <w:szCs w:val="24"/>
              </w:rPr>
            </w:pPr>
            <w:r>
              <w:rPr>
                <w:rFonts w:hint="eastAsia"/>
                <w:sz w:val="24"/>
                <w:szCs w:val="24"/>
              </w:rPr>
              <w:t>本项目</w:t>
            </w:r>
            <w:r>
              <w:rPr>
                <w:sz w:val="24"/>
                <w:szCs w:val="24"/>
              </w:rPr>
              <w:t>占地面积7975m</w:t>
            </w:r>
            <w:r>
              <w:rPr>
                <w:sz w:val="24"/>
                <w:szCs w:val="24"/>
                <w:vertAlign w:val="superscript"/>
              </w:rPr>
              <w:t>2</w:t>
            </w:r>
            <w:r>
              <w:rPr>
                <w:rFonts w:hint="eastAsia"/>
                <w:sz w:val="24"/>
                <w:szCs w:val="24"/>
              </w:rPr>
              <w:t>（约</w:t>
            </w:r>
            <w:r>
              <w:rPr>
                <w:sz w:val="24"/>
                <w:szCs w:val="24"/>
              </w:rPr>
              <w:t>11.9</w:t>
            </w:r>
            <w:r>
              <w:rPr>
                <w:rFonts w:hint="eastAsia"/>
                <w:sz w:val="24"/>
                <w:szCs w:val="24"/>
              </w:rPr>
              <w:t>亩），其中主城区垃圾转运站</w:t>
            </w:r>
            <w:r>
              <w:rPr>
                <w:rFonts w:hint="eastAsia" w:cs="宋体"/>
                <w:sz w:val="24"/>
                <w:szCs w:val="24"/>
              </w:rPr>
              <w:t>占地面积</w:t>
            </w:r>
            <w:r>
              <w:rPr>
                <w:rFonts w:cs="TimesNewRomanPSMT"/>
                <w:sz w:val="24"/>
                <w:szCs w:val="24"/>
              </w:rPr>
              <w:t>4260</w:t>
            </w:r>
            <w:r>
              <w:rPr>
                <w:sz w:val="24"/>
                <w:szCs w:val="24"/>
              </w:rPr>
              <w:t>m</w:t>
            </w:r>
            <w:r>
              <w:rPr>
                <w:sz w:val="24"/>
                <w:szCs w:val="24"/>
                <w:vertAlign w:val="superscript"/>
              </w:rPr>
              <w:t>2</w:t>
            </w:r>
            <w:r>
              <w:rPr>
                <w:rFonts w:hint="eastAsia" w:cs="宋体"/>
                <w:sz w:val="24"/>
                <w:szCs w:val="24"/>
              </w:rPr>
              <w:t>（约</w:t>
            </w:r>
            <w:r>
              <w:rPr>
                <w:rFonts w:cs="TimesNewRomanPSMT"/>
                <w:sz w:val="24"/>
                <w:szCs w:val="24"/>
              </w:rPr>
              <w:t>6.3</w:t>
            </w:r>
            <w:r>
              <w:rPr>
                <w:rFonts w:hint="eastAsia" w:cs="宋体"/>
                <w:sz w:val="24"/>
                <w:szCs w:val="24"/>
              </w:rPr>
              <w:t>亩），</w:t>
            </w:r>
            <w:r>
              <w:rPr>
                <w:sz w:val="24"/>
                <w:szCs w:val="24"/>
                <w:lang w:bidi="ar"/>
              </w:rPr>
              <w:t>建筑占地面积</w:t>
            </w:r>
            <w:r>
              <w:rPr>
                <w:rFonts w:hint="eastAsia"/>
                <w:sz w:val="24"/>
                <w:szCs w:val="24"/>
              </w:rPr>
              <w:t>1</w:t>
            </w:r>
            <w:r>
              <w:rPr>
                <w:sz w:val="24"/>
                <w:szCs w:val="24"/>
              </w:rPr>
              <w:t>673m</w:t>
            </w:r>
            <w:r>
              <w:rPr>
                <w:sz w:val="24"/>
                <w:szCs w:val="24"/>
                <w:vertAlign w:val="superscript"/>
              </w:rPr>
              <w:t>2</w:t>
            </w:r>
            <w:r>
              <w:rPr>
                <w:rFonts w:hint="eastAsia"/>
                <w:bCs/>
                <w:kern w:val="2"/>
                <w:sz w:val="24"/>
                <w:szCs w:val="24"/>
              </w:rPr>
              <w:t>，</w:t>
            </w:r>
            <w:r>
              <w:rPr>
                <w:rFonts w:hint="eastAsia" w:cs="宋体"/>
                <w:sz w:val="24"/>
                <w:szCs w:val="24"/>
              </w:rPr>
              <w:t>寿王坟垃圾转运站占地面积</w:t>
            </w:r>
            <w:r>
              <w:rPr>
                <w:rFonts w:cs="TimesNewRomanPSMT"/>
                <w:sz w:val="24"/>
                <w:szCs w:val="24"/>
              </w:rPr>
              <w:t>3715</w:t>
            </w:r>
            <w:r>
              <w:rPr>
                <w:sz w:val="24"/>
                <w:szCs w:val="24"/>
              </w:rPr>
              <w:t>m</w:t>
            </w:r>
            <w:r>
              <w:rPr>
                <w:sz w:val="24"/>
                <w:szCs w:val="24"/>
                <w:vertAlign w:val="superscript"/>
              </w:rPr>
              <w:t>2</w:t>
            </w:r>
            <w:r>
              <w:rPr>
                <w:rFonts w:hint="eastAsia"/>
                <w:sz w:val="24"/>
                <w:szCs w:val="24"/>
              </w:rPr>
              <w:t>（</w:t>
            </w:r>
            <w:r>
              <w:rPr>
                <w:rFonts w:hint="eastAsia" w:cs="宋体"/>
                <w:sz w:val="24"/>
                <w:szCs w:val="24"/>
              </w:rPr>
              <w:t>约</w:t>
            </w:r>
            <w:r>
              <w:rPr>
                <w:rFonts w:cs="TimesNewRomanPSMT"/>
                <w:sz w:val="24"/>
                <w:szCs w:val="24"/>
              </w:rPr>
              <w:t>5.57</w:t>
            </w:r>
            <w:r>
              <w:rPr>
                <w:rFonts w:hint="eastAsia" w:cs="宋体"/>
                <w:sz w:val="24"/>
                <w:szCs w:val="24"/>
              </w:rPr>
              <w:t>亩</w:t>
            </w:r>
            <w:r>
              <w:rPr>
                <w:rFonts w:hint="eastAsia"/>
                <w:sz w:val="24"/>
                <w:szCs w:val="24"/>
              </w:rPr>
              <w:t>），</w:t>
            </w:r>
            <w:r>
              <w:rPr>
                <w:sz w:val="24"/>
                <w:szCs w:val="24"/>
                <w:lang w:bidi="ar"/>
              </w:rPr>
              <w:t>建筑占地面积</w:t>
            </w:r>
            <w:r>
              <w:rPr>
                <w:sz w:val="24"/>
                <w:szCs w:val="24"/>
              </w:rPr>
              <w:t>520m</w:t>
            </w:r>
            <w:r>
              <w:rPr>
                <w:sz w:val="24"/>
                <w:szCs w:val="24"/>
                <w:vertAlign w:val="superscript"/>
              </w:rPr>
              <w:t>2</w:t>
            </w:r>
            <w:r>
              <w:rPr>
                <w:rFonts w:hint="eastAsia"/>
                <w:bCs/>
                <w:kern w:val="2"/>
                <w:sz w:val="24"/>
                <w:szCs w:val="24"/>
              </w:rPr>
              <w:t>。</w:t>
            </w:r>
          </w:p>
          <w:p>
            <w:pPr>
              <w:autoSpaceDE w:val="0"/>
              <w:autoSpaceDN w:val="0"/>
              <w:spacing w:line="360" w:lineRule="auto"/>
              <w:ind w:firstLine="480" w:firstLineChars="200"/>
              <w:jc w:val="left"/>
              <w:textAlignment w:val="auto"/>
              <w:rPr>
                <w:sz w:val="24"/>
                <w:szCs w:val="24"/>
              </w:rPr>
            </w:pPr>
            <w:r>
              <w:rPr>
                <w:rFonts w:hint="eastAsia"/>
                <w:bCs/>
                <w:kern w:val="2"/>
                <w:sz w:val="24"/>
                <w:szCs w:val="24"/>
              </w:rPr>
              <w:t>主城区垃圾转运站服务范围包括汪家庄镇和北马圈子镇：总人口5.2万，日垃圾清运量100吨，清运面积37万平方米，车辆及设施包括清扫车4台、洒水车1台、8T压缩车2台、3T压缩车1台、吸排车1台、农用垃圾场12台、果皮箱220个、勾臂车垃圾箱68个、小区专用垃圾桶1400个</w:t>
            </w:r>
            <w:r>
              <w:rPr>
                <w:rFonts w:hint="eastAsia"/>
                <w:sz w:val="24"/>
                <w:szCs w:val="24"/>
              </w:rPr>
              <w:t>；</w:t>
            </w:r>
            <w:r>
              <w:rPr>
                <w:rFonts w:hint="eastAsia"/>
                <w:bCs/>
                <w:kern w:val="2"/>
                <w:sz w:val="24"/>
                <w:szCs w:val="24"/>
              </w:rPr>
              <w:t>寿王坟镇服务范围包括：郑庄村、罗泉沟村、南沟村，人口约1.5万。</w:t>
            </w:r>
            <w:r>
              <w:rPr>
                <w:rFonts w:cs="宋体"/>
                <w:sz w:val="24"/>
                <w:szCs w:val="24"/>
              </w:rPr>
              <w:t xml:space="preserve"> </w:t>
            </w:r>
          </w:p>
          <w:p>
            <w:pPr>
              <w:pStyle w:val="105"/>
              <w:spacing w:line="360" w:lineRule="auto"/>
              <w:ind w:firstLine="460"/>
              <w:rPr>
                <w:rFonts w:ascii="Times New Roman"/>
                <w:color w:val="auto"/>
                <w:sz w:val="23"/>
                <w:szCs w:val="23"/>
              </w:rPr>
            </w:pPr>
            <w:r>
              <w:rPr>
                <w:rFonts w:hint="eastAsia" w:ascii="Times New Roman"/>
                <w:color w:val="auto"/>
              </w:rPr>
              <w:t>主要建设内容一览表见表</w:t>
            </w:r>
            <w:r>
              <w:rPr>
                <w:rFonts w:ascii="Times New Roman" w:cs="Times New Roman"/>
                <w:color w:val="auto"/>
              </w:rPr>
              <w:t>1</w:t>
            </w:r>
            <w:r>
              <w:rPr>
                <w:rFonts w:hint="eastAsia" w:ascii="Times New Roman"/>
                <w:color w:val="auto"/>
              </w:rPr>
              <w:t>，垃圾转运站主要工程见表</w:t>
            </w:r>
            <w:r>
              <w:rPr>
                <w:rFonts w:ascii="Times New Roman" w:cs="Times New Roman"/>
                <w:color w:val="auto"/>
              </w:rPr>
              <w:t>2</w:t>
            </w:r>
            <w:r>
              <w:rPr>
                <w:rFonts w:hint="eastAsia" w:ascii="Times New Roman"/>
                <w:color w:val="auto"/>
                <w:sz w:val="23"/>
                <w:szCs w:val="23"/>
              </w:rPr>
              <w:t>。</w:t>
            </w:r>
          </w:p>
          <w:p>
            <w:pPr>
              <w:autoSpaceDE w:val="0"/>
              <w:autoSpaceDN w:val="0"/>
              <w:spacing w:line="360" w:lineRule="auto"/>
              <w:jc w:val="center"/>
              <w:textAlignment w:val="auto"/>
              <w:rPr>
                <w:sz w:val="24"/>
                <w:szCs w:val="24"/>
              </w:rPr>
            </w:pPr>
            <w:r>
              <w:rPr>
                <w:sz w:val="24"/>
                <w:szCs w:val="24"/>
              </w:rPr>
              <w:t xml:space="preserve">表1 </w:t>
            </w:r>
            <w:r>
              <w:rPr>
                <w:rFonts w:hint="eastAsia"/>
                <w:sz w:val="24"/>
                <w:szCs w:val="24"/>
              </w:rPr>
              <w:t>垃圾转运站建设内容一览表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4"/>
              <w:gridCol w:w="3170"/>
              <w:gridCol w:w="4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pct"/>
                  <w:vAlign w:val="center"/>
                </w:tcPr>
                <w:p>
                  <w:pPr>
                    <w:spacing w:line="360" w:lineRule="auto"/>
                    <w:jc w:val="center"/>
                    <w:rPr>
                      <w:szCs w:val="21"/>
                    </w:rPr>
                  </w:pPr>
                  <w:r>
                    <w:rPr>
                      <w:rFonts w:hint="eastAsia"/>
                      <w:szCs w:val="21"/>
                    </w:rPr>
                    <w:t>序号</w:t>
                  </w:r>
                </w:p>
              </w:tc>
              <w:tc>
                <w:tcPr>
                  <w:tcW w:w="1820" w:type="pct"/>
                  <w:vAlign w:val="center"/>
                </w:tcPr>
                <w:p>
                  <w:pPr>
                    <w:spacing w:line="360" w:lineRule="auto"/>
                    <w:jc w:val="center"/>
                    <w:rPr>
                      <w:szCs w:val="21"/>
                    </w:rPr>
                  </w:pPr>
                  <w:r>
                    <w:rPr>
                      <w:rFonts w:hint="eastAsia"/>
                      <w:szCs w:val="21"/>
                    </w:rPr>
                    <w:t>项目</w:t>
                  </w:r>
                </w:p>
              </w:tc>
              <w:tc>
                <w:tcPr>
                  <w:tcW w:w="2512" w:type="pct"/>
                  <w:vAlign w:val="center"/>
                </w:tcPr>
                <w:p>
                  <w:pPr>
                    <w:spacing w:line="360" w:lineRule="auto"/>
                    <w:jc w:val="center"/>
                    <w:rPr>
                      <w:szCs w:val="21"/>
                    </w:rPr>
                  </w:pPr>
                  <w:r>
                    <w:rPr>
                      <w:rFonts w:hint="eastAsia"/>
                      <w:szCs w:val="21"/>
                    </w:rPr>
                    <w:t>技术经济指标（面积）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pct"/>
                  <w:vAlign w:val="center"/>
                </w:tcPr>
                <w:p>
                  <w:pPr>
                    <w:spacing w:line="360" w:lineRule="auto"/>
                    <w:jc w:val="center"/>
                    <w:rPr>
                      <w:szCs w:val="21"/>
                    </w:rPr>
                  </w:pPr>
                  <w:r>
                    <w:rPr>
                      <w:rFonts w:hint="eastAsia"/>
                      <w:szCs w:val="21"/>
                    </w:rPr>
                    <w:t>1</w:t>
                  </w:r>
                </w:p>
              </w:tc>
              <w:tc>
                <w:tcPr>
                  <w:tcW w:w="1820" w:type="pct"/>
                  <w:vAlign w:val="center"/>
                </w:tcPr>
                <w:p>
                  <w:pPr>
                    <w:spacing w:line="360" w:lineRule="auto"/>
                    <w:jc w:val="center"/>
                    <w:rPr>
                      <w:szCs w:val="21"/>
                    </w:rPr>
                  </w:pPr>
                  <w:r>
                    <w:rPr>
                      <w:rFonts w:hint="eastAsia"/>
                      <w:szCs w:val="21"/>
                    </w:rPr>
                    <w:t>规划总用地面积</w:t>
                  </w:r>
                </w:p>
              </w:tc>
              <w:tc>
                <w:tcPr>
                  <w:tcW w:w="2512" w:type="pct"/>
                  <w:vAlign w:val="center"/>
                </w:tcPr>
                <w:p>
                  <w:pPr>
                    <w:spacing w:line="360" w:lineRule="auto"/>
                    <w:jc w:val="center"/>
                    <w:rPr>
                      <w:szCs w:val="21"/>
                    </w:rPr>
                  </w:pPr>
                  <w:r>
                    <w:rPr>
                      <w:rFonts w:hint="eastAsia"/>
                      <w:szCs w:val="21"/>
                    </w:rPr>
                    <w:t>7</w:t>
                  </w:r>
                  <w:r>
                    <w:rPr>
                      <w:szCs w:val="21"/>
                    </w:rPr>
                    <w:t>975m</w:t>
                  </w:r>
                  <w:r>
                    <w:rPr>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pct"/>
                  <w:vAlign w:val="center"/>
                </w:tcPr>
                <w:p>
                  <w:pPr>
                    <w:spacing w:line="360" w:lineRule="auto"/>
                    <w:jc w:val="center"/>
                    <w:rPr>
                      <w:szCs w:val="21"/>
                    </w:rPr>
                  </w:pPr>
                  <w:r>
                    <w:rPr>
                      <w:rFonts w:hint="eastAsia"/>
                      <w:szCs w:val="21"/>
                    </w:rPr>
                    <w:t>1</w:t>
                  </w:r>
                  <w:r>
                    <w:rPr>
                      <w:szCs w:val="21"/>
                    </w:rPr>
                    <w:t>.1</w:t>
                  </w:r>
                </w:p>
              </w:tc>
              <w:tc>
                <w:tcPr>
                  <w:tcW w:w="1820" w:type="pct"/>
                  <w:vAlign w:val="center"/>
                </w:tcPr>
                <w:p>
                  <w:pPr>
                    <w:spacing w:line="360" w:lineRule="auto"/>
                    <w:jc w:val="center"/>
                    <w:rPr>
                      <w:szCs w:val="21"/>
                    </w:rPr>
                  </w:pPr>
                  <w:r>
                    <w:rPr>
                      <w:rFonts w:hint="eastAsia"/>
                      <w:szCs w:val="21"/>
                    </w:rPr>
                    <w:t>主城区垃圾转运站用地面积</w:t>
                  </w:r>
                </w:p>
              </w:tc>
              <w:tc>
                <w:tcPr>
                  <w:tcW w:w="2512" w:type="pct"/>
                  <w:vAlign w:val="center"/>
                </w:tcPr>
                <w:p>
                  <w:pPr>
                    <w:spacing w:line="360" w:lineRule="auto"/>
                    <w:jc w:val="center"/>
                    <w:rPr>
                      <w:szCs w:val="21"/>
                    </w:rPr>
                  </w:pPr>
                  <w:r>
                    <w:rPr>
                      <w:rFonts w:hint="eastAsia"/>
                      <w:szCs w:val="21"/>
                    </w:rPr>
                    <w:t>4</w:t>
                  </w:r>
                  <w:r>
                    <w:rPr>
                      <w:szCs w:val="21"/>
                    </w:rPr>
                    <w:t>260m</w:t>
                  </w:r>
                  <w:r>
                    <w:rPr>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pct"/>
                  <w:vAlign w:val="center"/>
                </w:tcPr>
                <w:p>
                  <w:pPr>
                    <w:spacing w:line="360" w:lineRule="auto"/>
                    <w:jc w:val="center"/>
                    <w:rPr>
                      <w:szCs w:val="21"/>
                    </w:rPr>
                  </w:pPr>
                  <w:r>
                    <w:rPr>
                      <w:rFonts w:hint="eastAsia"/>
                      <w:szCs w:val="21"/>
                    </w:rPr>
                    <w:t>1</w:t>
                  </w:r>
                  <w:r>
                    <w:rPr>
                      <w:szCs w:val="21"/>
                    </w:rPr>
                    <w:t>.2</w:t>
                  </w:r>
                </w:p>
              </w:tc>
              <w:tc>
                <w:tcPr>
                  <w:tcW w:w="1820" w:type="pct"/>
                  <w:vAlign w:val="center"/>
                </w:tcPr>
                <w:p>
                  <w:pPr>
                    <w:spacing w:line="360" w:lineRule="auto"/>
                    <w:jc w:val="center"/>
                    <w:rPr>
                      <w:szCs w:val="21"/>
                    </w:rPr>
                  </w:pPr>
                  <w:r>
                    <w:rPr>
                      <w:rFonts w:hint="eastAsia"/>
                      <w:szCs w:val="21"/>
                    </w:rPr>
                    <w:t>寿王坟镇垃圾转运站用地面积</w:t>
                  </w:r>
                </w:p>
              </w:tc>
              <w:tc>
                <w:tcPr>
                  <w:tcW w:w="2512" w:type="pct"/>
                  <w:vAlign w:val="center"/>
                </w:tcPr>
                <w:p>
                  <w:pPr>
                    <w:spacing w:line="360" w:lineRule="auto"/>
                    <w:jc w:val="center"/>
                    <w:rPr>
                      <w:szCs w:val="21"/>
                    </w:rPr>
                  </w:pPr>
                  <w:r>
                    <w:rPr>
                      <w:rFonts w:hint="eastAsia"/>
                      <w:szCs w:val="21"/>
                    </w:rPr>
                    <w:t>3</w:t>
                  </w:r>
                  <w:r>
                    <w:rPr>
                      <w:szCs w:val="21"/>
                    </w:rPr>
                    <w:t>715m</w:t>
                  </w:r>
                  <w:r>
                    <w:rPr>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pct"/>
                  <w:vAlign w:val="center"/>
                </w:tcPr>
                <w:p>
                  <w:pPr>
                    <w:spacing w:line="360" w:lineRule="auto"/>
                    <w:jc w:val="center"/>
                    <w:rPr>
                      <w:szCs w:val="21"/>
                    </w:rPr>
                  </w:pPr>
                  <w:r>
                    <w:rPr>
                      <w:rFonts w:hint="eastAsia"/>
                      <w:szCs w:val="21"/>
                    </w:rPr>
                    <w:t>2</w:t>
                  </w:r>
                </w:p>
              </w:tc>
              <w:tc>
                <w:tcPr>
                  <w:tcW w:w="1820" w:type="pct"/>
                  <w:vAlign w:val="center"/>
                </w:tcPr>
                <w:p>
                  <w:pPr>
                    <w:spacing w:line="360" w:lineRule="auto"/>
                    <w:jc w:val="center"/>
                    <w:rPr>
                      <w:szCs w:val="21"/>
                    </w:rPr>
                  </w:pPr>
                  <w:r>
                    <w:rPr>
                      <w:rFonts w:hint="eastAsia"/>
                      <w:szCs w:val="21"/>
                    </w:rPr>
                    <w:t>总建筑面积</w:t>
                  </w:r>
                </w:p>
              </w:tc>
              <w:tc>
                <w:tcPr>
                  <w:tcW w:w="2512" w:type="pct"/>
                  <w:vAlign w:val="center"/>
                </w:tcPr>
                <w:p>
                  <w:pPr>
                    <w:spacing w:line="360" w:lineRule="auto"/>
                    <w:jc w:val="center"/>
                    <w:rPr>
                      <w:szCs w:val="21"/>
                    </w:rPr>
                  </w:pPr>
                  <w:r>
                    <w:rPr>
                      <w:rFonts w:hint="eastAsia"/>
                      <w:szCs w:val="21"/>
                    </w:rPr>
                    <w:t>2</w:t>
                  </w:r>
                  <w:r>
                    <w:rPr>
                      <w:szCs w:val="21"/>
                    </w:rPr>
                    <w:t>192.45m</w:t>
                  </w:r>
                  <w:r>
                    <w:rPr>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pct"/>
                  <w:vAlign w:val="center"/>
                </w:tcPr>
                <w:p>
                  <w:pPr>
                    <w:spacing w:line="360" w:lineRule="auto"/>
                    <w:jc w:val="center"/>
                    <w:rPr>
                      <w:szCs w:val="21"/>
                    </w:rPr>
                  </w:pPr>
                  <w:r>
                    <w:rPr>
                      <w:rFonts w:hint="eastAsia"/>
                      <w:szCs w:val="21"/>
                    </w:rPr>
                    <w:t>2</w:t>
                  </w:r>
                  <w:r>
                    <w:rPr>
                      <w:szCs w:val="21"/>
                    </w:rPr>
                    <w:t>.1</w:t>
                  </w:r>
                </w:p>
              </w:tc>
              <w:tc>
                <w:tcPr>
                  <w:tcW w:w="1820" w:type="pct"/>
                  <w:vAlign w:val="center"/>
                </w:tcPr>
                <w:p>
                  <w:pPr>
                    <w:spacing w:line="360" w:lineRule="auto"/>
                    <w:jc w:val="center"/>
                    <w:rPr>
                      <w:szCs w:val="21"/>
                    </w:rPr>
                  </w:pPr>
                  <w:r>
                    <w:rPr>
                      <w:rFonts w:hint="eastAsia"/>
                      <w:szCs w:val="21"/>
                    </w:rPr>
                    <w:t>主城区垃圾转运站建筑面积</w:t>
                  </w:r>
                </w:p>
              </w:tc>
              <w:tc>
                <w:tcPr>
                  <w:tcW w:w="2512" w:type="pct"/>
                  <w:vAlign w:val="center"/>
                </w:tcPr>
                <w:p>
                  <w:pPr>
                    <w:spacing w:line="360" w:lineRule="auto"/>
                    <w:jc w:val="center"/>
                    <w:rPr>
                      <w:szCs w:val="21"/>
                    </w:rPr>
                  </w:pPr>
                  <w:r>
                    <w:rPr>
                      <w:rFonts w:hint="eastAsia"/>
                      <w:szCs w:val="21"/>
                    </w:rPr>
                    <w:t>1</w:t>
                  </w:r>
                  <w:r>
                    <w:rPr>
                      <w:szCs w:val="21"/>
                    </w:rPr>
                    <w:t>672.45m</w:t>
                  </w:r>
                  <w:r>
                    <w:rPr>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pct"/>
                  <w:vAlign w:val="center"/>
                </w:tcPr>
                <w:p>
                  <w:pPr>
                    <w:spacing w:line="360" w:lineRule="auto"/>
                    <w:jc w:val="center"/>
                    <w:rPr>
                      <w:szCs w:val="21"/>
                    </w:rPr>
                  </w:pPr>
                  <w:r>
                    <w:rPr>
                      <w:rFonts w:hint="eastAsia"/>
                      <w:szCs w:val="21"/>
                    </w:rPr>
                    <w:t>2</w:t>
                  </w:r>
                  <w:r>
                    <w:rPr>
                      <w:szCs w:val="21"/>
                    </w:rPr>
                    <w:t>.2</w:t>
                  </w:r>
                </w:p>
              </w:tc>
              <w:tc>
                <w:tcPr>
                  <w:tcW w:w="1820" w:type="pct"/>
                  <w:vAlign w:val="center"/>
                </w:tcPr>
                <w:p>
                  <w:pPr>
                    <w:spacing w:line="360" w:lineRule="auto"/>
                    <w:jc w:val="center"/>
                    <w:rPr>
                      <w:szCs w:val="21"/>
                    </w:rPr>
                  </w:pPr>
                  <w:r>
                    <w:rPr>
                      <w:rFonts w:hint="eastAsia"/>
                      <w:szCs w:val="21"/>
                    </w:rPr>
                    <w:t>寿王坟镇垃圾转运站建筑面积</w:t>
                  </w:r>
                </w:p>
              </w:tc>
              <w:tc>
                <w:tcPr>
                  <w:tcW w:w="2512" w:type="pct"/>
                  <w:vAlign w:val="center"/>
                </w:tcPr>
                <w:p>
                  <w:pPr>
                    <w:spacing w:line="360" w:lineRule="auto"/>
                    <w:jc w:val="center"/>
                    <w:rPr>
                      <w:szCs w:val="21"/>
                    </w:rPr>
                  </w:pPr>
                  <w:r>
                    <w:rPr>
                      <w:rFonts w:hint="eastAsia"/>
                      <w:szCs w:val="21"/>
                    </w:rPr>
                    <w:t>5</w:t>
                  </w:r>
                  <w:r>
                    <w:rPr>
                      <w:szCs w:val="21"/>
                    </w:rPr>
                    <w:t>20m</w:t>
                  </w:r>
                  <w:r>
                    <w:rPr>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pct"/>
                  <w:vAlign w:val="center"/>
                </w:tcPr>
                <w:p>
                  <w:pPr>
                    <w:spacing w:line="360" w:lineRule="auto"/>
                    <w:jc w:val="center"/>
                    <w:rPr>
                      <w:szCs w:val="21"/>
                    </w:rPr>
                  </w:pPr>
                  <w:r>
                    <w:rPr>
                      <w:rFonts w:hint="eastAsia"/>
                      <w:szCs w:val="21"/>
                    </w:rPr>
                    <w:t>3</w:t>
                  </w:r>
                </w:p>
              </w:tc>
              <w:tc>
                <w:tcPr>
                  <w:tcW w:w="1820" w:type="pct"/>
                  <w:vAlign w:val="center"/>
                </w:tcPr>
                <w:p>
                  <w:pPr>
                    <w:spacing w:line="360" w:lineRule="auto"/>
                    <w:jc w:val="center"/>
                    <w:rPr>
                      <w:szCs w:val="21"/>
                    </w:rPr>
                  </w:pPr>
                  <w:r>
                    <w:rPr>
                      <w:rFonts w:hint="eastAsia"/>
                      <w:szCs w:val="21"/>
                    </w:rPr>
                    <w:t>其他</w:t>
                  </w:r>
                </w:p>
              </w:tc>
              <w:tc>
                <w:tcPr>
                  <w:tcW w:w="2512" w:type="pct"/>
                  <w:vAlign w:val="center"/>
                </w:tcPr>
                <w:p>
                  <w:pPr>
                    <w:spacing w:line="360" w:lineRule="auto"/>
                    <w:jc w:val="center"/>
                    <w:rPr>
                      <w:szCs w:val="21"/>
                    </w:rPr>
                  </w:pPr>
                  <w:r>
                    <w:rPr>
                      <w:rFonts w:hint="eastAsia"/>
                      <w:szCs w:val="21"/>
                    </w:rPr>
                    <w:t>2</w:t>
                  </w:r>
                  <w:r>
                    <w:rPr>
                      <w:szCs w:val="21"/>
                    </w:rPr>
                    <w:t>731.52m</w:t>
                  </w:r>
                  <w:r>
                    <w:rPr>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pct"/>
                  <w:vAlign w:val="center"/>
                </w:tcPr>
                <w:p>
                  <w:pPr>
                    <w:spacing w:line="360" w:lineRule="auto"/>
                    <w:jc w:val="center"/>
                    <w:rPr>
                      <w:szCs w:val="21"/>
                    </w:rPr>
                  </w:pPr>
                  <w:r>
                    <w:rPr>
                      <w:szCs w:val="21"/>
                    </w:rPr>
                    <w:t>4</w:t>
                  </w:r>
                </w:p>
              </w:tc>
              <w:tc>
                <w:tcPr>
                  <w:tcW w:w="1820" w:type="pct"/>
                  <w:vAlign w:val="center"/>
                </w:tcPr>
                <w:p>
                  <w:pPr>
                    <w:spacing w:line="360" w:lineRule="auto"/>
                    <w:jc w:val="center"/>
                    <w:rPr>
                      <w:szCs w:val="21"/>
                    </w:rPr>
                  </w:pPr>
                  <w:r>
                    <w:rPr>
                      <w:rFonts w:hint="eastAsia"/>
                      <w:szCs w:val="21"/>
                    </w:rPr>
                    <w:t>绿化面积</w:t>
                  </w:r>
                </w:p>
              </w:tc>
              <w:tc>
                <w:tcPr>
                  <w:tcW w:w="2512" w:type="pct"/>
                  <w:vAlign w:val="center"/>
                </w:tcPr>
                <w:p>
                  <w:pPr>
                    <w:spacing w:line="360" w:lineRule="auto"/>
                    <w:jc w:val="center"/>
                    <w:rPr>
                      <w:szCs w:val="21"/>
                    </w:rPr>
                  </w:pPr>
                  <w:r>
                    <w:rPr>
                      <w:rFonts w:hint="eastAsia"/>
                      <w:szCs w:val="21"/>
                    </w:rPr>
                    <w:t>3</w:t>
                  </w:r>
                  <w:r>
                    <w:rPr>
                      <w:szCs w:val="21"/>
                    </w:rPr>
                    <w:t>051.03m</w:t>
                  </w:r>
                  <w:r>
                    <w:rPr>
                      <w:szCs w:val="21"/>
                      <w:vertAlign w:val="superscript"/>
                    </w:rPr>
                    <w:t>2</w:t>
                  </w:r>
                </w:p>
              </w:tc>
            </w:tr>
          </w:tbl>
          <w:p>
            <w:pPr>
              <w:autoSpaceDE w:val="0"/>
              <w:autoSpaceDN w:val="0"/>
              <w:spacing w:line="360" w:lineRule="auto"/>
              <w:jc w:val="center"/>
              <w:textAlignment w:val="auto"/>
              <w:rPr>
                <w:sz w:val="24"/>
                <w:szCs w:val="24"/>
              </w:rPr>
            </w:pPr>
            <w:r>
              <w:rPr>
                <w:rFonts w:hint="eastAsia"/>
                <w:sz w:val="24"/>
                <w:szCs w:val="24"/>
              </w:rPr>
              <w:t>表</w:t>
            </w:r>
            <w:r>
              <w:rPr>
                <w:sz w:val="24"/>
                <w:szCs w:val="24"/>
              </w:rPr>
              <w:t>2</w:t>
            </w:r>
            <w:r>
              <w:rPr>
                <w:rFonts w:hint="eastAsia"/>
                <w:sz w:val="24"/>
                <w:szCs w:val="24"/>
              </w:rPr>
              <w:t xml:space="preserve"> 垃圾转运站主要工程一览表</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2118"/>
              <w:gridCol w:w="5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spacing w:line="240" w:lineRule="exact"/>
                    <w:jc w:val="center"/>
                    <w:rPr>
                      <w:szCs w:val="21"/>
                    </w:rPr>
                  </w:pPr>
                  <w:r>
                    <w:rPr>
                      <w:rFonts w:hint="eastAsia"/>
                      <w:szCs w:val="21"/>
                    </w:rPr>
                    <w:t>工程分类</w:t>
                  </w:r>
                </w:p>
              </w:tc>
              <w:tc>
                <w:tcPr>
                  <w:tcW w:w="1216" w:type="pct"/>
                  <w:vAlign w:val="center"/>
                </w:tcPr>
                <w:p>
                  <w:pPr>
                    <w:spacing w:line="240" w:lineRule="exact"/>
                    <w:jc w:val="center"/>
                    <w:rPr>
                      <w:szCs w:val="21"/>
                    </w:rPr>
                  </w:pPr>
                  <w:r>
                    <w:rPr>
                      <w:rFonts w:hint="eastAsia"/>
                      <w:szCs w:val="21"/>
                    </w:rPr>
                    <w:t>名称</w:t>
                  </w:r>
                </w:p>
              </w:tc>
              <w:tc>
                <w:tcPr>
                  <w:tcW w:w="3360" w:type="pct"/>
                  <w:vAlign w:val="center"/>
                </w:tcPr>
                <w:p>
                  <w:pPr>
                    <w:spacing w:line="240" w:lineRule="exact"/>
                    <w:jc w:val="center"/>
                    <w:rPr>
                      <w:szCs w:val="21"/>
                    </w:rPr>
                  </w:pPr>
                  <w:r>
                    <w:rPr>
                      <w:rFonts w:hint="eastAsia"/>
                      <w:szCs w:val="21"/>
                    </w:rP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restart"/>
                  <w:vAlign w:val="center"/>
                </w:tcPr>
                <w:p>
                  <w:pPr>
                    <w:spacing w:line="240" w:lineRule="exact"/>
                    <w:jc w:val="center"/>
                    <w:rPr>
                      <w:szCs w:val="21"/>
                    </w:rPr>
                  </w:pPr>
                  <w:r>
                    <w:rPr>
                      <w:rFonts w:hint="eastAsia"/>
                      <w:szCs w:val="21"/>
                    </w:rPr>
                    <w:t>主体工程</w:t>
                  </w:r>
                </w:p>
              </w:tc>
              <w:tc>
                <w:tcPr>
                  <w:tcW w:w="1216" w:type="pct"/>
                  <w:vAlign w:val="center"/>
                </w:tcPr>
                <w:p>
                  <w:pPr>
                    <w:spacing w:line="240" w:lineRule="exact"/>
                    <w:jc w:val="center"/>
                    <w:rPr>
                      <w:szCs w:val="21"/>
                    </w:rPr>
                  </w:pPr>
                  <w:r>
                    <w:rPr>
                      <w:rFonts w:hint="eastAsia"/>
                      <w:szCs w:val="21"/>
                    </w:rPr>
                    <w:t>主城区垃圾转运站</w:t>
                  </w:r>
                </w:p>
              </w:tc>
              <w:tc>
                <w:tcPr>
                  <w:tcW w:w="3360" w:type="pct"/>
                  <w:vAlign w:val="center"/>
                </w:tcPr>
                <w:p>
                  <w:pPr>
                    <w:spacing w:line="240" w:lineRule="exact"/>
                    <w:jc w:val="center"/>
                    <w:rPr>
                      <w:szCs w:val="21"/>
                    </w:rPr>
                  </w:pPr>
                  <w:r>
                    <w:rPr>
                      <w:rFonts w:hint="eastAsia"/>
                      <w:szCs w:val="21"/>
                    </w:rPr>
                    <w:t>垃圾转运车间、卸料平台、栈桥、地磅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vAlign w:val="center"/>
                </w:tcPr>
                <w:p>
                  <w:pPr>
                    <w:spacing w:line="240" w:lineRule="exact"/>
                    <w:jc w:val="center"/>
                    <w:rPr>
                      <w:szCs w:val="21"/>
                    </w:rPr>
                  </w:pPr>
                </w:p>
              </w:tc>
              <w:tc>
                <w:tcPr>
                  <w:tcW w:w="1216" w:type="pct"/>
                  <w:vAlign w:val="center"/>
                </w:tcPr>
                <w:p>
                  <w:pPr>
                    <w:spacing w:line="240" w:lineRule="exact"/>
                    <w:jc w:val="center"/>
                    <w:rPr>
                      <w:szCs w:val="21"/>
                    </w:rPr>
                  </w:pPr>
                  <w:r>
                    <w:rPr>
                      <w:rFonts w:hint="eastAsia"/>
                      <w:szCs w:val="21"/>
                    </w:rPr>
                    <w:t>寿王坟镇垃圾转运站</w:t>
                  </w:r>
                </w:p>
              </w:tc>
              <w:tc>
                <w:tcPr>
                  <w:tcW w:w="3360" w:type="pct"/>
                  <w:vAlign w:val="center"/>
                </w:tcPr>
                <w:p>
                  <w:pPr>
                    <w:spacing w:line="240" w:lineRule="exact"/>
                    <w:jc w:val="center"/>
                    <w:rPr>
                      <w:szCs w:val="21"/>
                    </w:rPr>
                  </w:pPr>
                  <w:r>
                    <w:rPr>
                      <w:rFonts w:hint="eastAsia"/>
                      <w:szCs w:val="21"/>
                    </w:rPr>
                    <w:t>垃圾转运车间、控制室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restart"/>
                  <w:vAlign w:val="center"/>
                </w:tcPr>
                <w:p>
                  <w:pPr>
                    <w:spacing w:line="240" w:lineRule="exact"/>
                    <w:jc w:val="center"/>
                    <w:rPr>
                      <w:szCs w:val="21"/>
                    </w:rPr>
                  </w:pPr>
                  <w:r>
                    <w:rPr>
                      <w:rFonts w:hint="eastAsia"/>
                      <w:szCs w:val="21"/>
                    </w:rPr>
                    <w:t>辅助工程</w:t>
                  </w:r>
                </w:p>
              </w:tc>
              <w:tc>
                <w:tcPr>
                  <w:tcW w:w="1216" w:type="pct"/>
                  <w:vAlign w:val="center"/>
                </w:tcPr>
                <w:p>
                  <w:pPr>
                    <w:spacing w:line="240" w:lineRule="exact"/>
                    <w:jc w:val="center"/>
                    <w:rPr>
                      <w:szCs w:val="21"/>
                    </w:rPr>
                  </w:pPr>
                  <w:r>
                    <w:rPr>
                      <w:rFonts w:hint="eastAsia"/>
                      <w:szCs w:val="21"/>
                    </w:rPr>
                    <w:t>主城区垃圾转运站办公楼</w:t>
                  </w:r>
                </w:p>
              </w:tc>
              <w:tc>
                <w:tcPr>
                  <w:tcW w:w="3360" w:type="pct"/>
                  <w:vAlign w:val="center"/>
                </w:tcPr>
                <w:p>
                  <w:pPr>
                    <w:spacing w:line="240" w:lineRule="exact"/>
                    <w:jc w:val="center"/>
                    <w:rPr>
                      <w:szCs w:val="21"/>
                    </w:rPr>
                  </w:pPr>
                  <w:r>
                    <w:rPr>
                      <w:rFonts w:hint="eastAsia"/>
                      <w:szCs w:val="21"/>
                    </w:rPr>
                    <w:t>办公室、餐厅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vAlign w:val="center"/>
                </w:tcPr>
                <w:p>
                  <w:pPr>
                    <w:spacing w:line="240" w:lineRule="exact"/>
                    <w:jc w:val="center"/>
                    <w:rPr>
                      <w:szCs w:val="21"/>
                    </w:rPr>
                  </w:pPr>
                </w:p>
              </w:tc>
              <w:tc>
                <w:tcPr>
                  <w:tcW w:w="1216" w:type="pct"/>
                  <w:vAlign w:val="center"/>
                </w:tcPr>
                <w:p>
                  <w:pPr>
                    <w:spacing w:line="240" w:lineRule="exact"/>
                    <w:jc w:val="center"/>
                    <w:rPr>
                      <w:szCs w:val="21"/>
                    </w:rPr>
                  </w:pPr>
                  <w:r>
                    <w:rPr>
                      <w:rFonts w:hint="eastAsia"/>
                      <w:szCs w:val="21"/>
                    </w:rPr>
                    <w:t>寿王坟镇垃圾转运站办公楼</w:t>
                  </w:r>
                </w:p>
              </w:tc>
              <w:tc>
                <w:tcPr>
                  <w:tcW w:w="3360" w:type="pct"/>
                  <w:vAlign w:val="center"/>
                </w:tcPr>
                <w:p>
                  <w:pPr>
                    <w:spacing w:line="240" w:lineRule="exact"/>
                    <w:jc w:val="center"/>
                    <w:rPr>
                      <w:szCs w:val="21"/>
                    </w:rPr>
                  </w:pPr>
                  <w:r>
                    <w:rPr>
                      <w:rFonts w:hint="eastAsia"/>
                      <w:szCs w:val="21"/>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restart"/>
                  <w:vAlign w:val="center"/>
                </w:tcPr>
                <w:p>
                  <w:pPr>
                    <w:spacing w:line="240" w:lineRule="exact"/>
                    <w:jc w:val="center"/>
                    <w:rPr>
                      <w:szCs w:val="21"/>
                    </w:rPr>
                  </w:pPr>
                  <w:r>
                    <w:rPr>
                      <w:rFonts w:hint="eastAsia"/>
                      <w:szCs w:val="21"/>
                    </w:rPr>
                    <w:t>公用工程</w:t>
                  </w:r>
                </w:p>
              </w:tc>
              <w:tc>
                <w:tcPr>
                  <w:tcW w:w="1216" w:type="pct"/>
                  <w:vAlign w:val="center"/>
                </w:tcPr>
                <w:p>
                  <w:pPr>
                    <w:spacing w:line="240" w:lineRule="exact"/>
                    <w:jc w:val="center"/>
                    <w:rPr>
                      <w:szCs w:val="21"/>
                    </w:rPr>
                  </w:pPr>
                  <w:r>
                    <w:rPr>
                      <w:rFonts w:hint="eastAsia"/>
                      <w:szCs w:val="21"/>
                    </w:rPr>
                    <w:t>供水</w:t>
                  </w:r>
                </w:p>
              </w:tc>
              <w:tc>
                <w:tcPr>
                  <w:tcW w:w="3360" w:type="pct"/>
                  <w:vAlign w:val="center"/>
                </w:tcPr>
                <w:p>
                  <w:pPr>
                    <w:spacing w:line="240" w:lineRule="exact"/>
                    <w:rPr>
                      <w:szCs w:val="21"/>
                    </w:rPr>
                  </w:pPr>
                  <w:r>
                    <w:rPr>
                      <w:rFonts w:hint="eastAsia"/>
                      <w:szCs w:val="21"/>
                    </w:rPr>
                    <w:t>主城区转运站：内设水源井（取水证见附件）</w:t>
                  </w:r>
                </w:p>
                <w:p>
                  <w:pPr>
                    <w:spacing w:line="240" w:lineRule="exact"/>
                    <w:rPr>
                      <w:szCs w:val="21"/>
                    </w:rPr>
                  </w:pPr>
                  <w:r>
                    <w:rPr>
                      <w:rFonts w:hint="eastAsia"/>
                      <w:szCs w:val="21"/>
                    </w:rPr>
                    <w:t>寿王坟镇转运站：生产用水由寿王坟镇生活污水处理厂供给，生活用水为桶装水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vAlign w:val="center"/>
                </w:tcPr>
                <w:p>
                  <w:pPr>
                    <w:spacing w:line="240" w:lineRule="exact"/>
                    <w:jc w:val="center"/>
                    <w:rPr>
                      <w:szCs w:val="21"/>
                    </w:rPr>
                  </w:pPr>
                </w:p>
              </w:tc>
              <w:tc>
                <w:tcPr>
                  <w:tcW w:w="1216" w:type="pct"/>
                  <w:vAlign w:val="center"/>
                </w:tcPr>
                <w:p>
                  <w:pPr>
                    <w:spacing w:line="240" w:lineRule="exact"/>
                    <w:jc w:val="center"/>
                    <w:rPr>
                      <w:szCs w:val="21"/>
                    </w:rPr>
                  </w:pPr>
                  <w:r>
                    <w:rPr>
                      <w:rFonts w:hint="eastAsia"/>
                      <w:szCs w:val="21"/>
                    </w:rPr>
                    <w:t>供电</w:t>
                  </w:r>
                </w:p>
              </w:tc>
              <w:tc>
                <w:tcPr>
                  <w:tcW w:w="3360" w:type="pct"/>
                  <w:vAlign w:val="center"/>
                </w:tcPr>
                <w:p>
                  <w:pPr>
                    <w:spacing w:line="240" w:lineRule="exact"/>
                    <w:jc w:val="center"/>
                    <w:rPr>
                      <w:szCs w:val="21"/>
                    </w:rPr>
                  </w:pPr>
                  <w:r>
                    <w:rPr>
                      <w:rFonts w:hint="eastAsia"/>
                      <w:szCs w:val="21"/>
                    </w:rPr>
                    <w:t>两座转运站用电均由生活垃圾收集站供给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vAlign w:val="center"/>
                </w:tcPr>
                <w:p>
                  <w:pPr>
                    <w:spacing w:line="240" w:lineRule="exact"/>
                    <w:jc w:val="center"/>
                    <w:rPr>
                      <w:szCs w:val="21"/>
                    </w:rPr>
                  </w:pPr>
                </w:p>
              </w:tc>
              <w:tc>
                <w:tcPr>
                  <w:tcW w:w="1216" w:type="pct"/>
                  <w:vAlign w:val="center"/>
                </w:tcPr>
                <w:p>
                  <w:pPr>
                    <w:spacing w:line="240" w:lineRule="exact"/>
                    <w:jc w:val="center"/>
                    <w:rPr>
                      <w:szCs w:val="21"/>
                    </w:rPr>
                  </w:pPr>
                  <w:r>
                    <w:rPr>
                      <w:rFonts w:hint="eastAsia"/>
                      <w:szCs w:val="21"/>
                    </w:rPr>
                    <w:t>供热</w:t>
                  </w:r>
                </w:p>
              </w:tc>
              <w:tc>
                <w:tcPr>
                  <w:tcW w:w="3360" w:type="pct"/>
                  <w:vAlign w:val="center"/>
                </w:tcPr>
                <w:p>
                  <w:pPr>
                    <w:spacing w:line="240" w:lineRule="exact"/>
                    <w:jc w:val="center"/>
                    <w:rPr>
                      <w:szCs w:val="21"/>
                    </w:rPr>
                  </w:pPr>
                  <w:r>
                    <w:rPr>
                      <w:rFonts w:hint="eastAsia"/>
                      <w:szCs w:val="21"/>
                    </w:rPr>
                    <w:t>两座转运站冬季均为集中供热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pPr>
                    <w:spacing w:line="240" w:lineRule="exact"/>
                    <w:jc w:val="center"/>
                    <w:rPr>
                      <w:szCs w:val="21"/>
                    </w:rPr>
                  </w:pPr>
                  <w:r>
                    <w:rPr>
                      <w:rFonts w:hint="eastAsia"/>
                      <w:szCs w:val="21"/>
                    </w:rPr>
                    <w:t>储运工程</w:t>
                  </w:r>
                </w:p>
              </w:tc>
              <w:tc>
                <w:tcPr>
                  <w:tcW w:w="1216" w:type="pct"/>
                  <w:vAlign w:val="center"/>
                </w:tcPr>
                <w:p>
                  <w:pPr>
                    <w:spacing w:line="240" w:lineRule="exact"/>
                    <w:jc w:val="center"/>
                    <w:rPr>
                      <w:szCs w:val="21"/>
                    </w:rPr>
                  </w:pPr>
                  <w:r>
                    <w:rPr>
                      <w:rFonts w:hint="eastAsia"/>
                      <w:szCs w:val="21"/>
                    </w:rPr>
                    <w:t>停车场</w:t>
                  </w:r>
                </w:p>
              </w:tc>
              <w:tc>
                <w:tcPr>
                  <w:tcW w:w="3360" w:type="pct"/>
                  <w:vAlign w:val="center"/>
                </w:tcPr>
                <w:p>
                  <w:pPr>
                    <w:spacing w:line="240" w:lineRule="exact"/>
                    <w:jc w:val="center"/>
                    <w:rPr>
                      <w:szCs w:val="21"/>
                    </w:rPr>
                  </w:pPr>
                  <w:r>
                    <w:rPr>
                      <w:rFonts w:hint="eastAsia"/>
                      <w:szCs w:val="21"/>
                    </w:rPr>
                    <w:t>占地约</w:t>
                  </w:r>
                  <w:r>
                    <w:rPr>
                      <w:rFonts w:hint="eastAsia"/>
                      <w:bCs/>
                      <w:szCs w:val="21"/>
                    </w:rPr>
                    <w:t>2277</w:t>
                  </w:r>
                  <w:r>
                    <w:rPr>
                      <w:szCs w:val="21"/>
                    </w:rPr>
                    <w:t xml:space="preserve"> m</w:t>
                  </w:r>
                  <w:r>
                    <w:rPr>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restart"/>
                  <w:vAlign w:val="center"/>
                </w:tcPr>
                <w:p>
                  <w:pPr>
                    <w:spacing w:line="240" w:lineRule="exact"/>
                    <w:jc w:val="center"/>
                    <w:rPr>
                      <w:szCs w:val="21"/>
                    </w:rPr>
                  </w:pPr>
                  <w:r>
                    <w:rPr>
                      <w:rFonts w:hint="eastAsia"/>
                      <w:szCs w:val="21"/>
                    </w:rPr>
                    <w:t>环保工程</w:t>
                  </w:r>
                </w:p>
              </w:tc>
              <w:tc>
                <w:tcPr>
                  <w:tcW w:w="1216" w:type="pct"/>
                  <w:vAlign w:val="center"/>
                </w:tcPr>
                <w:p>
                  <w:pPr>
                    <w:spacing w:line="240" w:lineRule="exact"/>
                    <w:jc w:val="center"/>
                    <w:rPr>
                      <w:szCs w:val="21"/>
                    </w:rPr>
                  </w:pPr>
                  <w:r>
                    <w:rPr>
                      <w:rFonts w:hint="eastAsia"/>
                      <w:szCs w:val="21"/>
                    </w:rPr>
                    <w:t>废水</w:t>
                  </w:r>
                </w:p>
              </w:tc>
              <w:tc>
                <w:tcPr>
                  <w:tcW w:w="3360" w:type="pct"/>
                  <w:vAlign w:val="center"/>
                </w:tcPr>
                <w:p>
                  <w:pPr>
                    <w:spacing w:line="240" w:lineRule="exact"/>
                    <w:jc w:val="center"/>
                    <w:rPr>
                      <w:szCs w:val="21"/>
                      <w:highlight w:val="yellow"/>
                    </w:rPr>
                  </w:pPr>
                  <w:r>
                    <w:rPr>
                      <w:rFonts w:hint="eastAsia"/>
                      <w:szCs w:val="21"/>
                    </w:rPr>
                    <w:t>污水收集至污水收集池内，集中运至鹰手营子矿区生活</w:t>
                  </w:r>
                  <w:r>
                    <w:rPr>
                      <w:rFonts w:hint="eastAsia" w:cs="宋体"/>
                      <w:szCs w:val="21"/>
                    </w:rPr>
                    <w:t>垃圾填埋场渗滤液处理站</w:t>
                  </w:r>
                  <w:r>
                    <w:rPr>
                      <w:rFonts w:hint="eastAsia"/>
                      <w:szCs w:val="21"/>
                    </w:rPr>
                    <w:t>处理，处理后排至柳源污水处理厂进一步处理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vAlign w:val="center"/>
                </w:tcPr>
                <w:p>
                  <w:pPr>
                    <w:spacing w:line="240" w:lineRule="exact"/>
                    <w:jc w:val="center"/>
                    <w:rPr>
                      <w:szCs w:val="21"/>
                    </w:rPr>
                  </w:pPr>
                </w:p>
              </w:tc>
              <w:tc>
                <w:tcPr>
                  <w:tcW w:w="1216" w:type="pct"/>
                  <w:vAlign w:val="center"/>
                </w:tcPr>
                <w:p>
                  <w:pPr>
                    <w:spacing w:line="240" w:lineRule="exact"/>
                    <w:jc w:val="center"/>
                    <w:rPr>
                      <w:szCs w:val="21"/>
                    </w:rPr>
                  </w:pPr>
                  <w:r>
                    <w:rPr>
                      <w:rFonts w:hint="eastAsia"/>
                      <w:szCs w:val="21"/>
                    </w:rPr>
                    <w:t>废气</w:t>
                  </w:r>
                </w:p>
              </w:tc>
              <w:tc>
                <w:tcPr>
                  <w:tcW w:w="3360" w:type="pct"/>
                  <w:vAlign w:val="center"/>
                </w:tcPr>
                <w:p>
                  <w:pPr>
                    <w:spacing w:line="240" w:lineRule="exact"/>
                    <w:jc w:val="center"/>
                    <w:rPr>
                      <w:szCs w:val="21"/>
                    </w:rPr>
                  </w:pPr>
                  <w:r>
                    <w:rPr>
                      <w:szCs w:val="21"/>
                    </w:rPr>
                    <w:t>项目运营期废气为</w:t>
                  </w:r>
                  <w:r>
                    <w:rPr>
                      <w:rFonts w:hint="eastAsia"/>
                      <w:szCs w:val="21"/>
                    </w:rPr>
                    <w:t>压缩车间恶臭气体，</w:t>
                  </w:r>
                  <w:r>
                    <w:rPr>
                      <w:szCs w:val="21"/>
                    </w:rPr>
                    <w:t>餐饮油烟</w:t>
                  </w:r>
                </w:p>
                <w:p>
                  <w:pPr>
                    <w:spacing w:line="240" w:lineRule="exact"/>
                    <w:jc w:val="center"/>
                    <w:rPr>
                      <w:szCs w:val="21"/>
                    </w:rPr>
                  </w:pPr>
                  <w:r>
                    <w:rPr>
                      <w:rFonts w:hint="eastAsia"/>
                      <w:szCs w:val="21"/>
                    </w:rPr>
                    <w:t>1、压缩车间恶臭：分为有组织排放及无组织排放。</w:t>
                  </w:r>
                </w:p>
                <w:p>
                  <w:pPr>
                    <w:spacing w:line="240" w:lineRule="exact"/>
                    <w:jc w:val="center"/>
                    <w:rPr>
                      <w:szCs w:val="21"/>
                    </w:rPr>
                  </w:pPr>
                  <w:r>
                    <w:rPr>
                      <w:rFonts w:hint="eastAsia"/>
                      <w:szCs w:val="21"/>
                    </w:rPr>
                    <w:t>①主城区有组织排放废气经负压抽风净化+</w:t>
                  </w:r>
                  <w:r>
                    <w:rPr>
                      <w:rFonts w:hint="eastAsia" w:cs="宋体"/>
                      <w:szCs w:val="21"/>
                    </w:rPr>
                    <w:t>雾化喷淋+生物除臭剂处理</w:t>
                  </w:r>
                  <w:r>
                    <w:rPr>
                      <w:rFonts w:hint="eastAsia"/>
                      <w:szCs w:val="21"/>
                    </w:rPr>
                    <w:t>后，由1根1</w:t>
                  </w:r>
                  <w:r>
                    <w:rPr>
                      <w:szCs w:val="21"/>
                    </w:rPr>
                    <w:t>5</w:t>
                  </w:r>
                  <w:r>
                    <w:rPr>
                      <w:rFonts w:hint="eastAsia"/>
                      <w:szCs w:val="21"/>
                    </w:rPr>
                    <w:t>m高排气筒（1#）排出；</w:t>
                  </w:r>
                </w:p>
                <w:p>
                  <w:pPr>
                    <w:spacing w:line="240" w:lineRule="exact"/>
                    <w:jc w:val="center"/>
                    <w:rPr>
                      <w:szCs w:val="21"/>
                    </w:rPr>
                  </w:pPr>
                  <w:r>
                    <w:rPr>
                      <w:rFonts w:hint="eastAsia"/>
                      <w:szCs w:val="21"/>
                    </w:rPr>
                    <w:t>②寿王坟有组织排放废气经负压抽风净化+</w:t>
                  </w:r>
                  <w:r>
                    <w:rPr>
                      <w:rFonts w:hint="eastAsia" w:cs="宋体"/>
                      <w:szCs w:val="21"/>
                    </w:rPr>
                    <w:t>雾化喷淋+生物除臭剂处理</w:t>
                  </w:r>
                  <w:r>
                    <w:rPr>
                      <w:rFonts w:hint="eastAsia"/>
                      <w:szCs w:val="21"/>
                    </w:rPr>
                    <w:t>后，由1根1</w:t>
                  </w:r>
                  <w:r>
                    <w:rPr>
                      <w:szCs w:val="21"/>
                    </w:rPr>
                    <w:t>5</w:t>
                  </w:r>
                  <w:r>
                    <w:rPr>
                      <w:rFonts w:hint="eastAsia"/>
                      <w:szCs w:val="21"/>
                    </w:rPr>
                    <w:t>m高排气筒（</w:t>
                  </w:r>
                  <w:r>
                    <w:rPr>
                      <w:szCs w:val="21"/>
                    </w:rPr>
                    <w:t>2</w:t>
                  </w:r>
                  <w:r>
                    <w:rPr>
                      <w:rFonts w:hint="eastAsia"/>
                      <w:szCs w:val="21"/>
                    </w:rPr>
                    <w:t>#）排出。</w:t>
                  </w:r>
                </w:p>
                <w:p>
                  <w:pPr>
                    <w:spacing w:line="240" w:lineRule="exact"/>
                    <w:jc w:val="center"/>
                    <w:rPr>
                      <w:szCs w:val="21"/>
                    </w:rPr>
                  </w:pPr>
                  <w:r>
                    <w:rPr>
                      <w:rFonts w:hint="eastAsia"/>
                      <w:szCs w:val="21"/>
                    </w:rPr>
                    <w:t>③无组织废气由车间喷淋系统去除。</w:t>
                  </w:r>
                </w:p>
                <w:p>
                  <w:pPr>
                    <w:spacing w:line="240" w:lineRule="exact"/>
                    <w:jc w:val="center"/>
                    <w:rPr>
                      <w:szCs w:val="21"/>
                    </w:rPr>
                  </w:pPr>
                  <w:r>
                    <w:rPr>
                      <w:rFonts w:hint="eastAsia"/>
                      <w:szCs w:val="21"/>
                    </w:rPr>
                    <w:t>2、餐厅油烟：经油烟净化器净化后，经烟道引致屋顶排放。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vAlign w:val="center"/>
                </w:tcPr>
                <w:p>
                  <w:pPr>
                    <w:spacing w:line="240" w:lineRule="exact"/>
                    <w:jc w:val="center"/>
                    <w:rPr>
                      <w:szCs w:val="21"/>
                    </w:rPr>
                  </w:pPr>
                </w:p>
              </w:tc>
              <w:tc>
                <w:tcPr>
                  <w:tcW w:w="1216" w:type="pct"/>
                  <w:vAlign w:val="center"/>
                </w:tcPr>
                <w:p>
                  <w:pPr>
                    <w:spacing w:line="240" w:lineRule="exact"/>
                    <w:jc w:val="center"/>
                    <w:rPr>
                      <w:szCs w:val="21"/>
                    </w:rPr>
                  </w:pPr>
                  <w:r>
                    <w:rPr>
                      <w:rFonts w:hint="eastAsia"/>
                      <w:szCs w:val="21"/>
                    </w:rPr>
                    <w:t>噪声</w:t>
                  </w:r>
                </w:p>
              </w:tc>
              <w:tc>
                <w:tcPr>
                  <w:tcW w:w="3360" w:type="pct"/>
                  <w:vAlign w:val="center"/>
                </w:tcPr>
                <w:p>
                  <w:pPr>
                    <w:spacing w:line="240" w:lineRule="exact"/>
                    <w:jc w:val="center"/>
                    <w:rPr>
                      <w:szCs w:val="21"/>
                    </w:rPr>
                  </w:pPr>
                  <w:r>
                    <w:rPr>
                      <w:rFonts w:hint="eastAsia"/>
                      <w:szCs w:val="21"/>
                    </w:rPr>
                    <w:t>噪声来源主要为压缩车间的机械噪声。</w:t>
                  </w:r>
                </w:p>
                <w:p>
                  <w:pPr>
                    <w:spacing w:line="240" w:lineRule="exact"/>
                    <w:jc w:val="center"/>
                    <w:rPr>
                      <w:szCs w:val="21"/>
                    </w:rPr>
                  </w:pPr>
                  <w:r>
                    <w:rPr>
                      <w:rFonts w:hint="eastAsia"/>
                      <w:szCs w:val="21"/>
                    </w:rPr>
                    <w:t>通过合理安排工作时间、加强管理，减少员工作业、搬运过程中产生的噪声等措施进行防治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vAlign w:val="center"/>
                </w:tcPr>
                <w:p>
                  <w:pPr>
                    <w:spacing w:line="240" w:lineRule="exact"/>
                    <w:jc w:val="center"/>
                    <w:rPr>
                      <w:szCs w:val="21"/>
                    </w:rPr>
                  </w:pPr>
                </w:p>
              </w:tc>
              <w:tc>
                <w:tcPr>
                  <w:tcW w:w="1216" w:type="pct"/>
                  <w:vAlign w:val="center"/>
                </w:tcPr>
                <w:p>
                  <w:pPr>
                    <w:spacing w:line="240" w:lineRule="exact"/>
                    <w:jc w:val="center"/>
                    <w:rPr>
                      <w:szCs w:val="21"/>
                    </w:rPr>
                  </w:pPr>
                  <w:r>
                    <w:rPr>
                      <w:rFonts w:hint="eastAsia"/>
                      <w:szCs w:val="21"/>
                    </w:rPr>
                    <w:t>固废</w:t>
                  </w:r>
                </w:p>
              </w:tc>
              <w:tc>
                <w:tcPr>
                  <w:tcW w:w="3360" w:type="pct"/>
                  <w:vAlign w:val="center"/>
                </w:tcPr>
                <w:p>
                  <w:pPr>
                    <w:spacing w:line="240" w:lineRule="exact"/>
                    <w:jc w:val="center"/>
                    <w:rPr>
                      <w:szCs w:val="21"/>
                    </w:rPr>
                  </w:pPr>
                  <w:r>
                    <w:rPr>
                      <w:rFonts w:hint="eastAsia"/>
                      <w:szCs w:val="21"/>
                    </w:rPr>
                    <w:t>全部集中收集至垃圾转运站中集中处理</w:t>
                  </w:r>
                </w:p>
              </w:tc>
            </w:tr>
          </w:tbl>
          <w:p>
            <w:pPr>
              <w:spacing w:line="360" w:lineRule="auto"/>
              <w:ind w:firstLine="482"/>
              <w:rPr>
                <w:b/>
                <w:sz w:val="24"/>
                <w:szCs w:val="24"/>
              </w:rPr>
            </w:pPr>
            <w:r>
              <w:rPr>
                <w:b/>
                <w:sz w:val="24"/>
                <w:szCs w:val="24"/>
              </w:rPr>
              <w:t>4</w:t>
            </w:r>
            <w:r>
              <w:rPr>
                <w:rFonts w:hint="eastAsia"/>
                <w:b/>
                <w:sz w:val="24"/>
                <w:szCs w:val="24"/>
              </w:rPr>
              <w:t>、主要生产设备</w:t>
            </w:r>
          </w:p>
          <w:p>
            <w:pPr>
              <w:pStyle w:val="44"/>
              <w:spacing w:line="360" w:lineRule="auto"/>
              <w:ind w:firstLine="480"/>
            </w:pPr>
            <w:r>
              <w:rPr>
                <w:rFonts w:hint="eastAsia"/>
              </w:rPr>
              <w:t>本项目主要生产设备见表</w:t>
            </w:r>
            <w:r>
              <w:t>3</w:t>
            </w:r>
            <w:r>
              <w:rPr>
                <w:rFonts w:hint="eastAsia"/>
              </w:rPr>
              <w:t>、表</w:t>
            </w:r>
            <w:r>
              <w:t>4</w:t>
            </w:r>
            <w:r>
              <w:rPr>
                <w:rFonts w:hint="eastAsia"/>
              </w:rPr>
              <w:t>。</w:t>
            </w:r>
          </w:p>
          <w:p>
            <w:pPr>
              <w:autoSpaceDE w:val="0"/>
              <w:autoSpaceDN w:val="0"/>
              <w:spacing w:line="360" w:lineRule="auto"/>
              <w:jc w:val="center"/>
              <w:textAlignment w:val="auto"/>
              <w:rPr>
                <w:sz w:val="24"/>
                <w:szCs w:val="24"/>
              </w:rPr>
            </w:pPr>
            <w:r>
              <w:rPr>
                <w:rFonts w:hint="eastAsia"/>
                <w:sz w:val="24"/>
                <w:szCs w:val="24"/>
              </w:rPr>
              <w:t>表</w:t>
            </w:r>
            <w:r>
              <w:rPr>
                <w:sz w:val="24"/>
                <w:szCs w:val="24"/>
              </w:rPr>
              <w:t xml:space="preserve">3 </w:t>
            </w:r>
            <w:r>
              <w:rPr>
                <w:rFonts w:hint="eastAsia"/>
                <w:sz w:val="24"/>
                <w:szCs w:val="24"/>
              </w:rPr>
              <w:t>主城区垃圾转运站主要设备一览表</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3"/>
              <w:gridCol w:w="2916"/>
              <w:gridCol w:w="3561"/>
              <w:gridCol w:w="796"/>
              <w:gridCol w:w="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pct"/>
                  <w:vAlign w:val="center"/>
                </w:tcPr>
                <w:p>
                  <w:pPr>
                    <w:pStyle w:val="7"/>
                    <w:spacing w:line="360" w:lineRule="auto"/>
                    <w:ind w:firstLine="0" w:firstLineChars="0"/>
                    <w:jc w:val="center"/>
                    <w:rPr>
                      <w:szCs w:val="21"/>
                    </w:rPr>
                  </w:pPr>
                  <w:r>
                    <w:rPr>
                      <w:rFonts w:hint="eastAsia"/>
                      <w:szCs w:val="21"/>
                    </w:rPr>
                    <w:t>序号</w:t>
                  </w:r>
                </w:p>
              </w:tc>
              <w:tc>
                <w:tcPr>
                  <w:tcW w:w="1674" w:type="pct"/>
                  <w:vAlign w:val="center"/>
                </w:tcPr>
                <w:p>
                  <w:pPr>
                    <w:pStyle w:val="7"/>
                    <w:spacing w:line="360" w:lineRule="auto"/>
                    <w:jc w:val="center"/>
                    <w:rPr>
                      <w:szCs w:val="21"/>
                    </w:rPr>
                  </w:pPr>
                  <w:r>
                    <w:rPr>
                      <w:rFonts w:hint="eastAsia"/>
                      <w:szCs w:val="21"/>
                    </w:rPr>
                    <w:t>设备名称</w:t>
                  </w:r>
                </w:p>
              </w:tc>
              <w:tc>
                <w:tcPr>
                  <w:tcW w:w="2044" w:type="pct"/>
                  <w:vAlign w:val="center"/>
                </w:tcPr>
                <w:p>
                  <w:pPr>
                    <w:pStyle w:val="7"/>
                    <w:spacing w:line="360" w:lineRule="auto"/>
                    <w:jc w:val="center"/>
                    <w:rPr>
                      <w:szCs w:val="21"/>
                    </w:rPr>
                  </w:pPr>
                  <w:r>
                    <w:rPr>
                      <w:rFonts w:hint="eastAsia"/>
                      <w:szCs w:val="21"/>
                    </w:rPr>
                    <w:t>规格</w:t>
                  </w:r>
                </w:p>
              </w:tc>
              <w:tc>
                <w:tcPr>
                  <w:tcW w:w="457" w:type="pct"/>
                  <w:vAlign w:val="center"/>
                </w:tcPr>
                <w:p>
                  <w:pPr>
                    <w:pStyle w:val="7"/>
                    <w:spacing w:line="360" w:lineRule="auto"/>
                    <w:ind w:firstLine="0" w:firstLineChars="0"/>
                    <w:jc w:val="center"/>
                    <w:rPr>
                      <w:szCs w:val="21"/>
                    </w:rPr>
                  </w:pPr>
                  <w:r>
                    <w:rPr>
                      <w:rFonts w:hint="eastAsia"/>
                      <w:szCs w:val="21"/>
                    </w:rPr>
                    <w:t>单位</w:t>
                  </w:r>
                </w:p>
              </w:tc>
              <w:tc>
                <w:tcPr>
                  <w:tcW w:w="457" w:type="pct"/>
                  <w:vAlign w:val="center"/>
                </w:tcPr>
                <w:p>
                  <w:pPr>
                    <w:pStyle w:val="7"/>
                    <w:spacing w:line="360" w:lineRule="auto"/>
                    <w:ind w:firstLine="0" w:firstLineChars="0"/>
                    <w:jc w:val="center"/>
                    <w:rPr>
                      <w:szCs w:val="21"/>
                    </w:rPr>
                  </w:pPr>
                  <w:r>
                    <w:rPr>
                      <w:rFonts w:hint="eastAsia"/>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pct"/>
                  <w:vAlign w:val="center"/>
                </w:tcPr>
                <w:p>
                  <w:pPr>
                    <w:spacing w:line="360" w:lineRule="auto"/>
                    <w:jc w:val="center"/>
                    <w:rPr>
                      <w:szCs w:val="21"/>
                    </w:rPr>
                  </w:pPr>
                  <w:r>
                    <w:rPr>
                      <w:rFonts w:hint="eastAsia"/>
                      <w:szCs w:val="21"/>
                    </w:rPr>
                    <w:t>1</w:t>
                  </w:r>
                </w:p>
              </w:tc>
              <w:tc>
                <w:tcPr>
                  <w:tcW w:w="1674" w:type="pct"/>
                  <w:vAlign w:val="center"/>
                </w:tcPr>
                <w:p>
                  <w:pPr>
                    <w:spacing w:line="360" w:lineRule="auto"/>
                    <w:jc w:val="center"/>
                    <w:rPr>
                      <w:szCs w:val="21"/>
                    </w:rPr>
                  </w:pPr>
                  <w:r>
                    <w:rPr>
                      <w:rFonts w:hint="eastAsia" w:cs="宋体"/>
                      <w:szCs w:val="21"/>
                    </w:rPr>
                    <w:t>水平式整体压缩站</w:t>
                  </w:r>
                </w:p>
              </w:tc>
              <w:tc>
                <w:tcPr>
                  <w:tcW w:w="2044" w:type="pct"/>
                  <w:vAlign w:val="center"/>
                </w:tcPr>
                <w:p>
                  <w:pPr>
                    <w:spacing w:line="360" w:lineRule="auto"/>
                    <w:jc w:val="center"/>
                    <w:rPr>
                      <w:szCs w:val="21"/>
                    </w:rPr>
                  </w:pPr>
                  <w:r>
                    <w:rPr>
                      <w:rFonts w:cs="TimesNewRomanPSMT"/>
                      <w:szCs w:val="21"/>
                    </w:rPr>
                    <w:t>4810</w:t>
                  </w:r>
                  <w:r>
                    <w:rPr>
                      <w:rFonts w:hint="eastAsia" w:cs="宋体"/>
                      <w:szCs w:val="21"/>
                    </w:rPr>
                    <w:t>×</w:t>
                  </w:r>
                  <w:r>
                    <w:rPr>
                      <w:rFonts w:cs="TimesNewRomanPSMT"/>
                      <w:szCs w:val="21"/>
                    </w:rPr>
                    <w:t>2800</w:t>
                  </w:r>
                  <w:r>
                    <w:rPr>
                      <w:rFonts w:hint="eastAsia" w:cs="宋体"/>
                      <w:szCs w:val="21"/>
                    </w:rPr>
                    <w:t>×</w:t>
                  </w:r>
                  <w:r>
                    <w:rPr>
                      <w:rFonts w:cs="TimesNewRomanPSMT"/>
                      <w:szCs w:val="21"/>
                    </w:rPr>
                    <w:t>5900mm</w:t>
                  </w:r>
                </w:p>
              </w:tc>
              <w:tc>
                <w:tcPr>
                  <w:tcW w:w="457" w:type="pct"/>
                  <w:vAlign w:val="center"/>
                </w:tcPr>
                <w:p>
                  <w:pPr>
                    <w:spacing w:line="360" w:lineRule="auto"/>
                    <w:jc w:val="center"/>
                    <w:rPr>
                      <w:szCs w:val="21"/>
                    </w:rPr>
                  </w:pPr>
                  <w:r>
                    <w:rPr>
                      <w:rFonts w:hint="eastAsia"/>
                      <w:szCs w:val="21"/>
                    </w:rPr>
                    <w:t>套</w:t>
                  </w:r>
                </w:p>
              </w:tc>
              <w:tc>
                <w:tcPr>
                  <w:tcW w:w="457" w:type="pct"/>
                  <w:vAlign w:val="center"/>
                </w:tcPr>
                <w:p>
                  <w:pPr>
                    <w:spacing w:line="360" w:lineRule="auto"/>
                    <w:jc w:val="center"/>
                    <w:rPr>
                      <w:szCs w:val="21"/>
                    </w:rPr>
                  </w:pPr>
                  <w:r>
                    <w:rPr>
                      <w:rFonts w:hint="eastAsia"/>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pct"/>
                  <w:vAlign w:val="center"/>
                </w:tcPr>
                <w:p>
                  <w:pPr>
                    <w:spacing w:line="360" w:lineRule="auto"/>
                    <w:jc w:val="center"/>
                    <w:rPr>
                      <w:szCs w:val="21"/>
                    </w:rPr>
                  </w:pPr>
                  <w:r>
                    <w:rPr>
                      <w:rFonts w:hint="eastAsia"/>
                      <w:szCs w:val="21"/>
                    </w:rPr>
                    <w:t>2</w:t>
                  </w:r>
                </w:p>
              </w:tc>
              <w:tc>
                <w:tcPr>
                  <w:tcW w:w="1674" w:type="pct"/>
                  <w:vAlign w:val="center"/>
                </w:tcPr>
                <w:p>
                  <w:pPr>
                    <w:spacing w:line="360" w:lineRule="auto"/>
                    <w:jc w:val="center"/>
                    <w:rPr>
                      <w:szCs w:val="21"/>
                    </w:rPr>
                  </w:pPr>
                  <w:r>
                    <w:rPr>
                      <w:rFonts w:hint="eastAsia" w:cs="宋体"/>
                      <w:szCs w:val="21"/>
                    </w:rPr>
                    <w:t>垃圾集装箱</w:t>
                  </w:r>
                </w:p>
              </w:tc>
              <w:tc>
                <w:tcPr>
                  <w:tcW w:w="2044" w:type="pct"/>
                  <w:vAlign w:val="center"/>
                </w:tcPr>
                <w:p>
                  <w:pPr>
                    <w:spacing w:line="360" w:lineRule="auto"/>
                    <w:jc w:val="center"/>
                    <w:rPr>
                      <w:szCs w:val="21"/>
                    </w:rPr>
                  </w:pPr>
                  <w:r>
                    <w:rPr>
                      <w:rFonts w:hint="eastAsia"/>
                      <w:szCs w:val="21"/>
                    </w:rPr>
                    <w:t>L</w:t>
                  </w:r>
                  <w:r>
                    <w:rPr>
                      <w:szCs w:val="21"/>
                    </w:rPr>
                    <w:t>6100</w:t>
                  </w:r>
                  <w:r>
                    <w:rPr>
                      <w:rFonts w:hint="eastAsia"/>
                      <w:szCs w:val="21"/>
                    </w:rPr>
                    <w:t>×W</w:t>
                  </w:r>
                  <w:r>
                    <w:rPr>
                      <w:szCs w:val="21"/>
                    </w:rPr>
                    <w:t>2500</w:t>
                  </w:r>
                  <w:r>
                    <w:rPr>
                      <w:rFonts w:hint="eastAsia"/>
                      <w:szCs w:val="21"/>
                    </w:rPr>
                    <w:t>×H</w:t>
                  </w:r>
                  <w:r>
                    <w:rPr>
                      <w:szCs w:val="21"/>
                    </w:rPr>
                    <w:t>2165</w:t>
                  </w:r>
                  <w:r>
                    <w:rPr>
                      <w:rFonts w:cs="TimesNewRomanPSMT"/>
                      <w:szCs w:val="21"/>
                    </w:rPr>
                    <w:t xml:space="preserve"> mm</w:t>
                  </w:r>
                </w:p>
              </w:tc>
              <w:tc>
                <w:tcPr>
                  <w:tcW w:w="457" w:type="pct"/>
                  <w:vAlign w:val="center"/>
                </w:tcPr>
                <w:p>
                  <w:pPr>
                    <w:spacing w:line="360" w:lineRule="auto"/>
                    <w:jc w:val="center"/>
                    <w:rPr>
                      <w:szCs w:val="21"/>
                    </w:rPr>
                  </w:pPr>
                  <w:r>
                    <w:rPr>
                      <w:rFonts w:hint="eastAsia"/>
                      <w:szCs w:val="21"/>
                    </w:rPr>
                    <w:t>套</w:t>
                  </w:r>
                </w:p>
              </w:tc>
              <w:tc>
                <w:tcPr>
                  <w:tcW w:w="457" w:type="pct"/>
                  <w:vAlign w:val="center"/>
                </w:tcPr>
                <w:p>
                  <w:pPr>
                    <w:spacing w:line="360" w:lineRule="auto"/>
                    <w:jc w:val="center"/>
                    <w:rPr>
                      <w:szCs w:val="21"/>
                    </w:rPr>
                  </w:pPr>
                  <w:r>
                    <w:rPr>
                      <w:rFonts w:hint="eastAsia"/>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pct"/>
                  <w:vAlign w:val="center"/>
                </w:tcPr>
                <w:p>
                  <w:pPr>
                    <w:spacing w:line="360" w:lineRule="auto"/>
                    <w:jc w:val="center"/>
                    <w:rPr>
                      <w:szCs w:val="21"/>
                    </w:rPr>
                  </w:pPr>
                  <w:r>
                    <w:rPr>
                      <w:rFonts w:hint="eastAsia"/>
                      <w:szCs w:val="21"/>
                    </w:rPr>
                    <w:t>3</w:t>
                  </w:r>
                </w:p>
              </w:tc>
              <w:tc>
                <w:tcPr>
                  <w:tcW w:w="1674" w:type="pct"/>
                  <w:vAlign w:val="center"/>
                </w:tcPr>
                <w:p>
                  <w:pPr>
                    <w:autoSpaceDE w:val="0"/>
                    <w:autoSpaceDN w:val="0"/>
                    <w:spacing w:line="360" w:lineRule="auto"/>
                    <w:jc w:val="center"/>
                    <w:rPr>
                      <w:rFonts w:cs="宋体"/>
                      <w:szCs w:val="21"/>
                    </w:rPr>
                  </w:pPr>
                  <w:r>
                    <w:rPr>
                      <w:rFonts w:hint="eastAsia" w:cs="宋体"/>
                      <w:szCs w:val="21"/>
                    </w:rPr>
                    <w:t>抽风除尘除臭系统</w:t>
                  </w:r>
                </w:p>
              </w:tc>
              <w:tc>
                <w:tcPr>
                  <w:tcW w:w="2044" w:type="pct"/>
                  <w:vAlign w:val="center"/>
                </w:tcPr>
                <w:p>
                  <w:pPr>
                    <w:spacing w:line="360" w:lineRule="auto"/>
                    <w:jc w:val="center"/>
                    <w:rPr>
                      <w:szCs w:val="21"/>
                    </w:rPr>
                  </w:pPr>
                  <w:r>
                    <w:rPr>
                      <w:rFonts w:hint="eastAsia"/>
                      <w:szCs w:val="21"/>
                    </w:rPr>
                    <w:t>处理风量</w:t>
                  </w:r>
                  <w:r>
                    <w:rPr>
                      <w:rFonts w:hint="eastAsia" w:cs="宋体"/>
                      <w:szCs w:val="21"/>
                    </w:rPr>
                    <w:t>≥</w:t>
                  </w:r>
                  <w:r>
                    <w:rPr>
                      <w:rFonts w:cs="TimesNewRomanPSMT"/>
                      <w:szCs w:val="21"/>
                    </w:rPr>
                    <w:t>20000m</w:t>
                  </w:r>
                  <w:r>
                    <w:rPr>
                      <w:rFonts w:cs="TimesNewRomanPSMT"/>
                      <w:szCs w:val="21"/>
                      <w:vertAlign w:val="superscript"/>
                    </w:rPr>
                    <w:t>3</w:t>
                  </w:r>
                  <w:r>
                    <w:rPr>
                      <w:rFonts w:cs="TimesNewRomanPSMT"/>
                      <w:szCs w:val="21"/>
                    </w:rPr>
                    <w:t>/h</w:t>
                  </w:r>
                </w:p>
              </w:tc>
              <w:tc>
                <w:tcPr>
                  <w:tcW w:w="457" w:type="pct"/>
                  <w:vAlign w:val="center"/>
                </w:tcPr>
                <w:p>
                  <w:pPr>
                    <w:spacing w:line="360" w:lineRule="auto"/>
                    <w:jc w:val="center"/>
                    <w:rPr>
                      <w:szCs w:val="21"/>
                    </w:rPr>
                  </w:pPr>
                  <w:r>
                    <w:rPr>
                      <w:rFonts w:hint="eastAsia"/>
                      <w:szCs w:val="21"/>
                    </w:rPr>
                    <w:t>套</w:t>
                  </w:r>
                </w:p>
              </w:tc>
              <w:tc>
                <w:tcPr>
                  <w:tcW w:w="457" w:type="pct"/>
                  <w:vAlign w:val="center"/>
                </w:tcPr>
                <w:p>
                  <w:pPr>
                    <w:spacing w:line="360" w:lineRule="auto"/>
                    <w:jc w:val="center"/>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pct"/>
                  <w:vAlign w:val="center"/>
                </w:tcPr>
                <w:p>
                  <w:pPr>
                    <w:spacing w:line="360" w:lineRule="auto"/>
                    <w:jc w:val="center"/>
                    <w:rPr>
                      <w:szCs w:val="21"/>
                    </w:rPr>
                  </w:pPr>
                  <w:r>
                    <w:rPr>
                      <w:rFonts w:hint="eastAsia"/>
                      <w:szCs w:val="21"/>
                    </w:rPr>
                    <w:t>4</w:t>
                  </w:r>
                </w:p>
              </w:tc>
              <w:tc>
                <w:tcPr>
                  <w:tcW w:w="1674" w:type="pct"/>
                  <w:vAlign w:val="center"/>
                </w:tcPr>
                <w:p>
                  <w:pPr>
                    <w:autoSpaceDE w:val="0"/>
                    <w:autoSpaceDN w:val="0"/>
                    <w:spacing w:line="360" w:lineRule="auto"/>
                    <w:jc w:val="center"/>
                    <w:rPr>
                      <w:rFonts w:cs="宋体"/>
                      <w:szCs w:val="21"/>
                    </w:rPr>
                  </w:pPr>
                  <w:r>
                    <w:rPr>
                      <w:rFonts w:hint="eastAsia" w:cs="TimesNewRomanPSMT"/>
                      <w:szCs w:val="21"/>
                    </w:rPr>
                    <w:t>生物除臭剂喷淋系统</w:t>
                  </w:r>
                </w:p>
              </w:tc>
              <w:tc>
                <w:tcPr>
                  <w:tcW w:w="2044" w:type="pct"/>
                  <w:vAlign w:val="center"/>
                </w:tcPr>
                <w:p>
                  <w:pPr>
                    <w:spacing w:line="360" w:lineRule="auto"/>
                    <w:jc w:val="center"/>
                    <w:rPr>
                      <w:szCs w:val="21"/>
                    </w:rPr>
                  </w:pPr>
                  <w:r>
                    <w:rPr>
                      <w:rFonts w:hint="eastAsia"/>
                      <w:szCs w:val="21"/>
                    </w:rPr>
                    <w:t>-</w:t>
                  </w:r>
                </w:p>
              </w:tc>
              <w:tc>
                <w:tcPr>
                  <w:tcW w:w="457" w:type="pct"/>
                  <w:vAlign w:val="center"/>
                </w:tcPr>
                <w:p>
                  <w:pPr>
                    <w:spacing w:line="360" w:lineRule="auto"/>
                    <w:jc w:val="center"/>
                    <w:rPr>
                      <w:szCs w:val="21"/>
                    </w:rPr>
                  </w:pPr>
                  <w:r>
                    <w:rPr>
                      <w:rFonts w:hint="eastAsia"/>
                      <w:szCs w:val="21"/>
                    </w:rPr>
                    <w:t>套</w:t>
                  </w:r>
                </w:p>
              </w:tc>
              <w:tc>
                <w:tcPr>
                  <w:tcW w:w="457" w:type="pct"/>
                  <w:vAlign w:val="center"/>
                </w:tcPr>
                <w:p>
                  <w:pPr>
                    <w:spacing w:line="360" w:lineRule="auto"/>
                    <w:jc w:val="center"/>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pct"/>
                  <w:vAlign w:val="center"/>
                </w:tcPr>
                <w:p>
                  <w:pPr>
                    <w:spacing w:line="360" w:lineRule="auto"/>
                    <w:jc w:val="center"/>
                    <w:rPr>
                      <w:szCs w:val="21"/>
                    </w:rPr>
                  </w:pPr>
                  <w:r>
                    <w:rPr>
                      <w:rFonts w:hint="eastAsia"/>
                      <w:szCs w:val="21"/>
                    </w:rPr>
                    <w:t>5</w:t>
                  </w:r>
                </w:p>
              </w:tc>
              <w:tc>
                <w:tcPr>
                  <w:tcW w:w="1674" w:type="pct"/>
                  <w:vAlign w:val="center"/>
                </w:tcPr>
                <w:p>
                  <w:pPr>
                    <w:spacing w:line="360" w:lineRule="auto"/>
                    <w:jc w:val="center"/>
                    <w:rPr>
                      <w:szCs w:val="21"/>
                    </w:rPr>
                  </w:pPr>
                  <w:r>
                    <w:rPr>
                      <w:rFonts w:hint="eastAsia" w:cs="TimesNewRomanPSMT"/>
                      <w:szCs w:val="21"/>
                    </w:rPr>
                    <w:t>高压清洗装置</w:t>
                  </w:r>
                </w:p>
              </w:tc>
              <w:tc>
                <w:tcPr>
                  <w:tcW w:w="2044" w:type="pct"/>
                  <w:vAlign w:val="center"/>
                </w:tcPr>
                <w:p>
                  <w:pPr>
                    <w:spacing w:line="360" w:lineRule="auto"/>
                    <w:jc w:val="center"/>
                    <w:rPr>
                      <w:szCs w:val="21"/>
                    </w:rPr>
                  </w:pPr>
                  <w:r>
                    <w:rPr>
                      <w:rFonts w:hint="eastAsia"/>
                      <w:szCs w:val="21"/>
                    </w:rPr>
                    <w:t>-</w:t>
                  </w:r>
                </w:p>
              </w:tc>
              <w:tc>
                <w:tcPr>
                  <w:tcW w:w="457" w:type="pct"/>
                  <w:vAlign w:val="center"/>
                </w:tcPr>
                <w:p>
                  <w:pPr>
                    <w:spacing w:line="360" w:lineRule="auto"/>
                    <w:jc w:val="center"/>
                    <w:rPr>
                      <w:szCs w:val="21"/>
                    </w:rPr>
                  </w:pPr>
                  <w:r>
                    <w:rPr>
                      <w:rFonts w:hint="eastAsia"/>
                      <w:szCs w:val="21"/>
                    </w:rPr>
                    <w:t>套</w:t>
                  </w:r>
                </w:p>
              </w:tc>
              <w:tc>
                <w:tcPr>
                  <w:tcW w:w="457" w:type="pct"/>
                  <w:vAlign w:val="center"/>
                </w:tcPr>
                <w:p>
                  <w:pPr>
                    <w:spacing w:line="360" w:lineRule="auto"/>
                    <w:jc w:val="center"/>
                    <w:rPr>
                      <w:szCs w:val="21"/>
                    </w:rPr>
                  </w:pPr>
                  <w:r>
                    <w:rPr>
                      <w:rFonts w:hint="eastAsia"/>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pct"/>
                  <w:vAlign w:val="center"/>
                </w:tcPr>
                <w:p>
                  <w:pPr>
                    <w:spacing w:line="360" w:lineRule="auto"/>
                    <w:jc w:val="center"/>
                    <w:rPr>
                      <w:szCs w:val="21"/>
                    </w:rPr>
                  </w:pPr>
                  <w:r>
                    <w:rPr>
                      <w:rFonts w:hint="eastAsia"/>
                      <w:szCs w:val="21"/>
                    </w:rPr>
                    <w:t>6</w:t>
                  </w:r>
                </w:p>
              </w:tc>
              <w:tc>
                <w:tcPr>
                  <w:tcW w:w="1674" w:type="pct"/>
                  <w:vAlign w:val="center"/>
                </w:tcPr>
                <w:p>
                  <w:pPr>
                    <w:spacing w:line="360" w:lineRule="auto"/>
                    <w:jc w:val="center"/>
                    <w:rPr>
                      <w:szCs w:val="21"/>
                    </w:rPr>
                  </w:pPr>
                  <w:r>
                    <w:rPr>
                      <w:rFonts w:hint="eastAsia" w:cs="TimesNewRomanPSMT"/>
                      <w:szCs w:val="21"/>
                    </w:rPr>
                    <w:t>中央控制系统</w:t>
                  </w:r>
                </w:p>
              </w:tc>
              <w:tc>
                <w:tcPr>
                  <w:tcW w:w="2044" w:type="pct"/>
                  <w:vAlign w:val="center"/>
                </w:tcPr>
                <w:p>
                  <w:pPr>
                    <w:spacing w:line="360" w:lineRule="auto"/>
                    <w:jc w:val="center"/>
                    <w:rPr>
                      <w:szCs w:val="21"/>
                    </w:rPr>
                  </w:pPr>
                  <w:r>
                    <w:rPr>
                      <w:rFonts w:hint="eastAsia"/>
                      <w:szCs w:val="21"/>
                    </w:rPr>
                    <w:t>-</w:t>
                  </w:r>
                </w:p>
              </w:tc>
              <w:tc>
                <w:tcPr>
                  <w:tcW w:w="457" w:type="pct"/>
                  <w:vAlign w:val="center"/>
                </w:tcPr>
                <w:p>
                  <w:pPr>
                    <w:spacing w:line="360" w:lineRule="auto"/>
                    <w:jc w:val="center"/>
                    <w:rPr>
                      <w:szCs w:val="21"/>
                    </w:rPr>
                  </w:pPr>
                  <w:r>
                    <w:rPr>
                      <w:rFonts w:hint="eastAsia"/>
                      <w:szCs w:val="21"/>
                    </w:rPr>
                    <w:t>套</w:t>
                  </w:r>
                </w:p>
              </w:tc>
              <w:tc>
                <w:tcPr>
                  <w:tcW w:w="457" w:type="pct"/>
                  <w:vAlign w:val="center"/>
                </w:tcPr>
                <w:p>
                  <w:pPr>
                    <w:spacing w:line="360" w:lineRule="auto"/>
                    <w:jc w:val="center"/>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pct"/>
                  <w:vAlign w:val="center"/>
                </w:tcPr>
                <w:p>
                  <w:pPr>
                    <w:spacing w:line="360" w:lineRule="auto"/>
                    <w:jc w:val="center"/>
                    <w:rPr>
                      <w:szCs w:val="21"/>
                    </w:rPr>
                  </w:pPr>
                  <w:r>
                    <w:rPr>
                      <w:rFonts w:hint="eastAsia"/>
                      <w:szCs w:val="21"/>
                    </w:rPr>
                    <w:t>7</w:t>
                  </w:r>
                </w:p>
              </w:tc>
              <w:tc>
                <w:tcPr>
                  <w:tcW w:w="1674" w:type="pct"/>
                  <w:vAlign w:val="center"/>
                </w:tcPr>
                <w:p>
                  <w:pPr>
                    <w:spacing w:line="360" w:lineRule="auto"/>
                    <w:jc w:val="center"/>
                    <w:rPr>
                      <w:rFonts w:cs="TimesNewRomanPSMT"/>
                      <w:szCs w:val="21"/>
                    </w:rPr>
                  </w:pPr>
                  <w:r>
                    <w:rPr>
                      <w:rFonts w:hint="eastAsia" w:cs="TimesNewRomanPSMT"/>
                      <w:szCs w:val="21"/>
                    </w:rPr>
                    <w:t>转运车辆</w:t>
                  </w:r>
                </w:p>
              </w:tc>
              <w:tc>
                <w:tcPr>
                  <w:tcW w:w="2044" w:type="pct"/>
                  <w:vAlign w:val="center"/>
                </w:tcPr>
                <w:p>
                  <w:pPr>
                    <w:spacing w:line="360" w:lineRule="auto"/>
                    <w:jc w:val="center"/>
                    <w:rPr>
                      <w:szCs w:val="21"/>
                    </w:rPr>
                  </w:pPr>
                  <w:r>
                    <w:rPr>
                      <w:rFonts w:hint="eastAsia" w:cs="TimesNewRomanPSMT"/>
                      <w:szCs w:val="21"/>
                    </w:rPr>
                    <w:t>满载总质量2</w:t>
                  </w:r>
                  <w:r>
                    <w:rPr>
                      <w:rFonts w:cs="TimesNewRomanPSMT"/>
                      <w:szCs w:val="21"/>
                    </w:rPr>
                    <w:t>5000</w:t>
                  </w:r>
                  <w:r>
                    <w:rPr>
                      <w:rFonts w:hint="eastAsia" w:cs="TimesNewRomanPSMT"/>
                      <w:szCs w:val="21"/>
                    </w:rPr>
                    <w:t>kg</w:t>
                  </w:r>
                </w:p>
              </w:tc>
              <w:tc>
                <w:tcPr>
                  <w:tcW w:w="457" w:type="pct"/>
                  <w:vAlign w:val="center"/>
                </w:tcPr>
                <w:p>
                  <w:pPr>
                    <w:spacing w:line="360" w:lineRule="auto"/>
                    <w:jc w:val="center"/>
                    <w:rPr>
                      <w:szCs w:val="21"/>
                    </w:rPr>
                  </w:pPr>
                  <w:r>
                    <w:rPr>
                      <w:rFonts w:hint="eastAsia"/>
                      <w:szCs w:val="21"/>
                    </w:rPr>
                    <w:t>辆</w:t>
                  </w:r>
                </w:p>
              </w:tc>
              <w:tc>
                <w:tcPr>
                  <w:tcW w:w="457" w:type="pct"/>
                  <w:vAlign w:val="center"/>
                </w:tcPr>
                <w:p>
                  <w:pPr>
                    <w:spacing w:line="360" w:lineRule="auto"/>
                    <w:jc w:val="center"/>
                    <w:rPr>
                      <w:szCs w:val="21"/>
                    </w:rPr>
                  </w:pPr>
                  <w:r>
                    <w:rPr>
                      <w:rFonts w:hint="eastAsia"/>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pct"/>
                  <w:vAlign w:val="center"/>
                </w:tcPr>
                <w:p>
                  <w:pPr>
                    <w:spacing w:line="360" w:lineRule="auto"/>
                    <w:jc w:val="center"/>
                    <w:rPr>
                      <w:szCs w:val="21"/>
                    </w:rPr>
                  </w:pPr>
                  <w:r>
                    <w:rPr>
                      <w:rFonts w:hint="eastAsia"/>
                      <w:szCs w:val="21"/>
                    </w:rPr>
                    <w:t>8</w:t>
                  </w:r>
                </w:p>
              </w:tc>
              <w:tc>
                <w:tcPr>
                  <w:tcW w:w="1674" w:type="pct"/>
                  <w:vAlign w:val="center"/>
                </w:tcPr>
                <w:p>
                  <w:pPr>
                    <w:spacing w:line="360" w:lineRule="auto"/>
                    <w:jc w:val="center"/>
                    <w:rPr>
                      <w:rFonts w:cs="TimesNewRomanPSMT"/>
                      <w:szCs w:val="21"/>
                    </w:rPr>
                  </w:pPr>
                  <w:r>
                    <w:rPr>
                      <w:rFonts w:hint="eastAsia" w:cs="TimesNewRomanPSMT"/>
                      <w:szCs w:val="21"/>
                    </w:rPr>
                    <w:t>压滤液转运车</w:t>
                  </w:r>
                </w:p>
              </w:tc>
              <w:tc>
                <w:tcPr>
                  <w:tcW w:w="2044" w:type="pct"/>
                  <w:vAlign w:val="center"/>
                </w:tcPr>
                <w:p>
                  <w:pPr>
                    <w:spacing w:line="360" w:lineRule="auto"/>
                    <w:jc w:val="center"/>
                    <w:rPr>
                      <w:rFonts w:cs="TimesNewRomanPSMT"/>
                      <w:szCs w:val="21"/>
                    </w:rPr>
                  </w:pPr>
                  <w:r>
                    <w:rPr>
                      <w:rFonts w:hint="eastAsia" w:cs="TimesNewRomanPSMT"/>
                      <w:szCs w:val="21"/>
                    </w:rPr>
                    <w:t>满载总质量</w:t>
                  </w:r>
                  <w:r>
                    <w:rPr>
                      <w:rFonts w:cs="TimesNewRomanPSMT"/>
                      <w:szCs w:val="21"/>
                    </w:rPr>
                    <w:t>5t</w:t>
                  </w:r>
                  <w:r>
                    <w:rPr>
                      <w:rFonts w:hint="eastAsia" w:cs="TimesNewRomanPSMT"/>
                      <w:szCs w:val="21"/>
                    </w:rPr>
                    <w:t>，带自吸功能</w:t>
                  </w:r>
                </w:p>
              </w:tc>
              <w:tc>
                <w:tcPr>
                  <w:tcW w:w="457" w:type="pct"/>
                  <w:vAlign w:val="center"/>
                </w:tcPr>
                <w:p>
                  <w:pPr>
                    <w:spacing w:line="360" w:lineRule="auto"/>
                    <w:jc w:val="center"/>
                    <w:rPr>
                      <w:szCs w:val="21"/>
                    </w:rPr>
                  </w:pPr>
                  <w:r>
                    <w:rPr>
                      <w:rFonts w:hint="eastAsia"/>
                      <w:szCs w:val="21"/>
                    </w:rPr>
                    <w:t>辆</w:t>
                  </w:r>
                </w:p>
              </w:tc>
              <w:tc>
                <w:tcPr>
                  <w:tcW w:w="457" w:type="pct"/>
                  <w:vAlign w:val="center"/>
                </w:tcPr>
                <w:p>
                  <w:pPr>
                    <w:spacing w:line="360" w:lineRule="auto"/>
                    <w:jc w:val="center"/>
                    <w:rPr>
                      <w:szCs w:val="21"/>
                    </w:rPr>
                  </w:pPr>
                  <w:r>
                    <w:rPr>
                      <w:rFonts w:hint="eastAsia"/>
                      <w:szCs w:val="21"/>
                    </w:rPr>
                    <w:t>1</w:t>
                  </w:r>
                </w:p>
              </w:tc>
            </w:tr>
          </w:tbl>
          <w:p>
            <w:pPr>
              <w:autoSpaceDE w:val="0"/>
              <w:autoSpaceDN w:val="0"/>
              <w:spacing w:line="360" w:lineRule="auto"/>
              <w:jc w:val="center"/>
              <w:textAlignment w:val="auto"/>
              <w:rPr>
                <w:sz w:val="24"/>
                <w:szCs w:val="24"/>
              </w:rPr>
            </w:pPr>
            <w:r>
              <w:rPr>
                <w:rFonts w:hint="eastAsia"/>
                <w:sz w:val="24"/>
                <w:szCs w:val="24"/>
              </w:rPr>
              <w:t>表</w:t>
            </w:r>
            <w:r>
              <w:rPr>
                <w:sz w:val="24"/>
                <w:szCs w:val="24"/>
              </w:rPr>
              <w:t xml:space="preserve">4 </w:t>
            </w:r>
            <w:r>
              <w:rPr>
                <w:rFonts w:hint="eastAsia"/>
                <w:sz w:val="24"/>
                <w:szCs w:val="24"/>
              </w:rPr>
              <w:t>寿王坟镇垃圾转运站主要设备一览表</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7"/>
              <w:gridCol w:w="2918"/>
              <w:gridCol w:w="3461"/>
              <w:gridCol w:w="777"/>
              <w:gridCol w:w="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46" w:type="pct"/>
                  <w:vAlign w:val="center"/>
                </w:tcPr>
                <w:p>
                  <w:pPr>
                    <w:pStyle w:val="7"/>
                    <w:spacing w:line="360" w:lineRule="auto"/>
                    <w:ind w:firstLine="0" w:firstLineChars="0"/>
                    <w:jc w:val="center"/>
                    <w:rPr>
                      <w:szCs w:val="21"/>
                    </w:rPr>
                  </w:pPr>
                  <w:r>
                    <w:rPr>
                      <w:szCs w:val="21"/>
                    </w:rPr>
                    <w:t>序号</w:t>
                  </w:r>
                </w:p>
              </w:tc>
              <w:tc>
                <w:tcPr>
                  <w:tcW w:w="1675" w:type="pct"/>
                  <w:vAlign w:val="center"/>
                </w:tcPr>
                <w:p>
                  <w:pPr>
                    <w:pStyle w:val="7"/>
                    <w:spacing w:line="360" w:lineRule="auto"/>
                    <w:ind w:firstLine="367" w:firstLineChars="175"/>
                    <w:jc w:val="center"/>
                    <w:rPr>
                      <w:szCs w:val="21"/>
                    </w:rPr>
                  </w:pPr>
                  <w:r>
                    <w:rPr>
                      <w:szCs w:val="21"/>
                    </w:rPr>
                    <w:t>设备名称</w:t>
                  </w:r>
                </w:p>
              </w:tc>
              <w:tc>
                <w:tcPr>
                  <w:tcW w:w="1987" w:type="pct"/>
                  <w:vAlign w:val="center"/>
                </w:tcPr>
                <w:p>
                  <w:pPr>
                    <w:pStyle w:val="7"/>
                    <w:spacing w:line="360" w:lineRule="auto"/>
                    <w:ind w:firstLine="367" w:firstLineChars="175"/>
                    <w:jc w:val="center"/>
                    <w:rPr>
                      <w:szCs w:val="21"/>
                    </w:rPr>
                  </w:pPr>
                  <w:r>
                    <w:rPr>
                      <w:szCs w:val="21"/>
                    </w:rPr>
                    <w:t>规格</w:t>
                  </w:r>
                </w:p>
              </w:tc>
              <w:tc>
                <w:tcPr>
                  <w:tcW w:w="446" w:type="pct"/>
                  <w:vAlign w:val="center"/>
                </w:tcPr>
                <w:p>
                  <w:pPr>
                    <w:pStyle w:val="7"/>
                    <w:spacing w:line="360" w:lineRule="auto"/>
                    <w:ind w:firstLine="0" w:firstLineChars="0"/>
                    <w:jc w:val="center"/>
                    <w:rPr>
                      <w:szCs w:val="21"/>
                    </w:rPr>
                  </w:pPr>
                  <w:r>
                    <w:rPr>
                      <w:szCs w:val="21"/>
                    </w:rPr>
                    <w:t>单位</w:t>
                  </w:r>
                </w:p>
              </w:tc>
              <w:tc>
                <w:tcPr>
                  <w:tcW w:w="446" w:type="pct"/>
                  <w:vAlign w:val="center"/>
                </w:tcPr>
                <w:p>
                  <w:pPr>
                    <w:pStyle w:val="7"/>
                    <w:spacing w:line="360" w:lineRule="auto"/>
                    <w:ind w:firstLine="0" w:firstLineChars="0"/>
                    <w:jc w:val="center"/>
                    <w:rPr>
                      <w:szCs w:val="21"/>
                    </w:rPr>
                  </w:pPr>
                  <w:r>
                    <w:rPr>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pct"/>
                  <w:vAlign w:val="center"/>
                </w:tcPr>
                <w:p>
                  <w:pPr>
                    <w:spacing w:line="360" w:lineRule="auto"/>
                    <w:jc w:val="center"/>
                    <w:rPr>
                      <w:szCs w:val="21"/>
                    </w:rPr>
                  </w:pPr>
                  <w:r>
                    <w:rPr>
                      <w:szCs w:val="21"/>
                    </w:rPr>
                    <w:t>1</w:t>
                  </w:r>
                </w:p>
              </w:tc>
              <w:tc>
                <w:tcPr>
                  <w:tcW w:w="1675" w:type="pct"/>
                  <w:vAlign w:val="center"/>
                </w:tcPr>
                <w:p>
                  <w:pPr>
                    <w:autoSpaceDE w:val="0"/>
                    <w:autoSpaceDN w:val="0"/>
                    <w:spacing w:line="360" w:lineRule="auto"/>
                    <w:jc w:val="center"/>
                    <w:rPr>
                      <w:szCs w:val="21"/>
                    </w:rPr>
                  </w:pPr>
                  <w:r>
                    <w:rPr>
                      <w:szCs w:val="21"/>
                    </w:rPr>
                    <w:t>水平一体式垃圾压缩箱</w:t>
                  </w:r>
                </w:p>
              </w:tc>
              <w:tc>
                <w:tcPr>
                  <w:tcW w:w="1987" w:type="pct"/>
                  <w:vAlign w:val="center"/>
                </w:tcPr>
                <w:p>
                  <w:pPr>
                    <w:spacing w:line="360" w:lineRule="auto"/>
                    <w:jc w:val="center"/>
                    <w:rPr>
                      <w:szCs w:val="21"/>
                    </w:rPr>
                  </w:pPr>
                  <w:r>
                    <w:rPr>
                      <w:szCs w:val="21"/>
                    </w:rPr>
                    <w:t>每次转运垃圾重量8-11t</w:t>
                  </w:r>
                </w:p>
              </w:tc>
              <w:tc>
                <w:tcPr>
                  <w:tcW w:w="446" w:type="pct"/>
                  <w:vAlign w:val="center"/>
                </w:tcPr>
                <w:p>
                  <w:pPr>
                    <w:spacing w:line="360" w:lineRule="auto"/>
                    <w:jc w:val="center"/>
                    <w:rPr>
                      <w:szCs w:val="21"/>
                    </w:rPr>
                  </w:pPr>
                  <w:r>
                    <w:rPr>
                      <w:szCs w:val="21"/>
                    </w:rPr>
                    <w:t>套</w:t>
                  </w:r>
                </w:p>
              </w:tc>
              <w:tc>
                <w:tcPr>
                  <w:tcW w:w="446" w:type="pct"/>
                  <w:vAlign w:val="center"/>
                </w:tcPr>
                <w:p>
                  <w:pPr>
                    <w:spacing w:line="360" w:lineRule="auto"/>
                    <w:jc w:val="center"/>
                    <w:rPr>
                      <w:szCs w:val="21"/>
                    </w:rPr>
                  </w:pPr>
                  <w:r>
                    <w:rPr>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pct"/>
                  <w:vAlign w:val="center"/>
                </w:tcPr>
                <w:p>
                  <w:pPr>
                    <w:spacing w:line="360" w:lineRule="auto"/>
                    <w:jc w:val="center"/>
                    <w:rPr>
                      <w:szCs w:val="21"/>
                    </w:rPr>
                  </w:pPr>
                  <w:r>
                    <w:rPr>
                      <w:szCs w:val="21"/>
                    </w:rPr>
                    <w:t>2</w:t>
                  </w:r>
                </w:p>
              </w:tc>
              <w:tc>
                <w:tcPr>
                  <w:tcW w:w="1675" w:type="pct"/>
                  <w:vAlign w:val="center"/>
                </w:tcPr>
                <w:p>
                  <w:pPr>
                    <w:spacing w:line="360" w:lineRule="auto"/>
                    <w:jc w:val="center"/>
                    <w:rPr>
                      <w:szCs w:val="21"/>
                    </w:rPr>
                  </w:pPr>
                  <w:r>
                    <w:rPr>
                      <w:szCs w:val="21"/>
                    </w:rPr>
                    <w:t>垃圾集装箱</w:t>
                  </w:r>
                </w:p>
              </w:tc>
              <w:tc>
                <w:tcPr>
                  <w:tcW w:w="1987" w:type="pct"/>
                  <w:vAlign w:val="center"/>
                </w:tcPr>
                <w:p>
                  <w:pPr>
                    <w:spacing w:line="360" w:lineRule="auto"/>
                    <w:jc w:val="center"/>
                    <w:rPr>
                      <w:szCs w:val="21"/>
                    </w:rPr>
                  </w:pPr>
                  <w:r>
                    <w:rPr>
                      <w:szCs w:val="21"/>
                    </w:rPr>
                    <w:t>L6100×W2500×H2165mm</w:t>
                  </w:r>
                </w:p>
              </w:tc>
              <w:tc>
                <w:tcPr>
                  <w:tcW w:w="446" w:type="pct"/>
                  <w:vAlign w:val="center"/>
                </w:tcPr>
                <w:p>
                  <w:pPr>
                    <w:spacing w:line="360" w:lineRule="auto"/>
                    <w:jc w:val="center"/>
                    <w:rPr>
                      <w:szCs w:val="21"/>
                    </w:rPr>
                  </w:pPr>
                  <w:r>
                    <w:rPr>
                      <w:szCs w:val="21"/>
                    </w:rPr>
                    <w:t>套</w:t>
                  </w:r>
                </w:p>
              </w:tc>
              <w:tc>
                <w:tcPr>
                  <w:tcW w:w="446" w:type="pct"/>
                  <w:vAlign w:val="center"/>
                </w:tcPr>
                <w:p>
                  <w:pPr>
                    <w:spacing w:line="360" w:lineRule="auto"/>
                    <w:jc w:val="center"/>
                    <w:rPr>
                      <w:szCs w:val="21"/>
                    </w:rPr>
                  </w:pPr>
                  <w:r>
                    <w:rPr>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pct"/>
                  <w:vAlign w:val="center"/>
                </w:tcPr>
                <w:p>
                  <w:pPr>
                    <w:spacing w:line="360" w:lineRule="auto"/>
                    <w:jc w:val="center"/>
                    <w:rPr>
                      <w:szCs w:val="21"/>
                    </w:rPr>
                  </w:pPr>
                  <w:r>
                    <w:rPr>
                      <w:szCs w:val="21"/>
                    </w:rPr>
                    <w:t>3</w:t>
                  </w:r>
                </w:p>
              </w:tc>
              <w:tc>
                <w:tcPr>
                  <w:tcW w:w="1675" w:type="pct"/>
                  <w:vAlign w:val="center"/>
                </w:tcPr>
                <w:p>
                  <w:pPr>
                    <w:autoSpaceDE w:val="0"/>
                    <w:autoSpaceDN w:val="0"/>
                    <w:spacing w:line="360" w:lineRule="auto"/>
                    <w:jc w:val="center"/>
                    <w:rPr>
                      <w:szCs w:val="21"/>
                    </w:rPr>
                  </w:pPr>
                  <w:r>
                    <w:rPr>
                      <w:szCs w:val="21"/>
                    </w:rPr>
                    <w:t>抽风除尘除臭系统</w:t>
                  </w:r>
                </w:p>
              </w:tc>
              <w:tc>
                <w:tcPr>
                  <w:tcW w:w="1987" w:type="pct"/>
                  <w:vAlign w:val="center"/>
                </w:tcPr>
                <w:p>
                  <w:pPr>
                    <w:spacing w:line="360" w:lineRule="auto"/>
                    <w:jc w:val="center"/>
                    <w:rPr>
                      <w:szCs w:val="21"/>
                    </w:rPr>
                  </w:pPr>
                  <w:r>
                    <w:rPr>
                      <w:szCs w:val="21"/>
                    </w:rPr>
                    <w:t>处理风量≥20000m</w:t>
                  </w:r>
                  <w:r>
                    <w:rPr>
                      <w:szCs w:val="21"/>
                      <w:vertAlign w:val="superscript"/>
                    </w:rPr>
                    <w:t>3</w:t>
                  </w:r>
                  <w:r>
                    <w:rPr>
                      <w:szCs w:val="21"/>
                    </w:rPr>
                    <w:t>/h</w:t>
                  </w:r>
                </w:p>
              </w:tc>
              <w:tc>
                <w:tcPr>
                  <w:tcW w:w="446" w:type="pct"/>
                  <w:vAlign w:val="center"/>
                </w:tcPr>
                <w:p>
                  <w:pPr>
                    <w:spacing w:line="360" w:lineRule="auto"/>
                    <w:jc w:val="center"/>
                    <w:rPr>
                      <w:szCs w:val="21"/>
                    </w:rPr>
                  </w:pPr>
                  <w:r>
                    <w:rPr>
                      <w:szCs w:val="21"/>
                    </w:rPr>
                    <w:t>套</w:t>
                  </w:r>
                </w:p>
              </w:tc>
              <w:tc>
                <w:tcPr>
                  <w:tcW w:w="446" w:type="pct"/>
                  <w:vAlign w:val="center"/>
                </w:tcPr>
                <w:p>
                  <w:pPr>
                    <w:spacing w:line="360" w:lineRule="auto"/>
                    <w:jc w:val="center"/>
                    <w:rPr>
                      <w:szCs w:val="21"/>
                    </w:rPr>
                  </w:pPr>
                  <w:r>
                    <w:rPr>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pct"/>
                  <w:vAlign w:val="center"/>
                </w:tcPr>
                <w:p>
                  <w:pPr>
                    <w:spacing w:line="360" w:lineRule="auto"/>
                    <w:jc w:val="center"/>
                    <w:rPr>
                      <w:szCs w:val="21"/>
                    </w:rPr>
                  </w:pPr>
                  <w:r>
                    <w:rPr>
                      <w:szCs w:val="21"/>
                    </w:rPr>
                    <w:t>4</w:t>
                  </w:r>
                </w:p>
              </w:tc>
              <w:tc>
                <w:tcPr>
                  <w:tcW w:w="1675" w:type="pct"/>
                  <w:vAlign w:val="center"/>
                </w:tcPr>
                <w:p>
                  <w:pPr>
                    <w:autoSpaceDE w:val="0"/>
                    <w:autoSpaceDN w:val="0"/>
                    <w:spacing w:line="360" w:lineRule="auto"/>
                    <w:jc w:val="center"/>
                    <w:rPr>
                      <w:szCs w:val="21"/>
                    </w:rPr>
                  </w:pPr>
                  <w:r>
                    <w:rPr>
                      <w:szCs w:val="21"/>
                    </w:rPr>
                    <w:t>生物除臭剂喷淋系统</w:t>
                  </w:r>
                </w:p>
              </w:tc>
              <w:tc>
                <w:tcPr>
                  <w:tcW w:w="1987" w:type="pct"/>
                  <w:vAlign w:val="center"/>
                </w:tcPr>
                <w:p>
                  <w:pPr>
                    <w:spacing w:line="360" w:lineRule="auto"/>
                    <w:jc w:val="center"/>
                    <w:rPr>
                      <w:szCs w:val="21"/>
                    </w:rPr>
                  </w:pPr>
                  <w:r>
                    <w:rPr>
                      <w:szCs w:val="21"/>
                    </w:rPr>
                    <w:t>-</w:t>
                  </w:r>
                </w:p>
              </w:tc>
              <w:tc>
                <w:tcPr>
                  <w:tcW w:w="446" w:type="pct"/>
                  <w:vAlign w:val="center"/>
                </w:tcPr>
                <w:p>
                  <w:pPr>
                    <w:spacing w:line="360" w:lineRule="auto"/>
                    <w:jc w:val="center"/>
                    <w:rPr>
                      <w:szCs w:val="21"/>
                    </w:rPr>
                  </w:pPr>
                  <w:r>
                    <w:rPr>
                      <w:szCs w:val="21"/>
                    </w:rPr>
                    <w:t>套</w:t>
                  </w:r>
                </w:p>
              </w:tc>
              <w:tc>
                <w:tcPr>
                  <w:tcW w:w="446" w:type="pct"/>
                  <w:vAlign w:val="center"/>
                </w:tcPr>
                <w:p>
                  <w:pPr>
                    <w:spacing w:line="360" w:lineRule="auto"/>
                    <w:jc w:val="center"/>
                    <w:rPr>
                      <w:szCs w:val="21"/>
                    </w:rPr>
                  </w:pPr>
                  <w:r>
                    <w:rPr>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pct"/>
                  <w:vAlign w:val="center"/>
                </w:tcPr>
                <w:p>
                  <w:pPr>
                    <w:spacing w:line="360" w:lineRule="auto"/>
                    <w:jc w:val="center"/>
                    <w:rPr>
                      <w:szCs w:val="21"/>
                    </w:rPr>
                  </w:pPr>
                  <w:r>
                    <w:rPr>
                      <w:szCs w:val="21"/>
                    </w:rPr>
                    <w:t>7</w:t>
                  </w:r>
                </w:p>
              </w:tc>
              <w:tc>
                <w:tcPr>
                  <w:tcW w:w="1675" w:type="pct"/>
                  <w:vAlign w:val="center"/>
                </w:tcPr>
                <w:p>
                  <w:pPr>
                    <w:spacing w:line="360" w:lineRule="auto"/>
                    <w:jc w:val="center"/>
                    <w:rPr>
                      <w:szCs w:val="21"/>
                    </w:rPr>
                  </w:pPr>
                  <w:r>
                    <w:rPr>
                      <w:szCs w:val="21"/>
                    </w:rPr>
                    <w:t>转运车辆</w:t>
                  </w:r>
                </w:p>
              </w:tc>
              <w:tc>
                <w:tcPr>
                  <w:tcW w:w="1987" w:type="pct"/>
                  <w:vAlign w:val="center"/>
                </w:tcPr>
                <w:p>
                  <w:pPr>
                    <w:spacing w:line="360" w:lineRule="auto"/>
                    <w:jc w:val="center"/>
                    <w:rPr>
                      <w:szCs w:val="21"/>
                    </w:rPr>
                  </w:pPr>
                  <w:r>
                    <w:rPr>
                      <w:szCs w:val="21"/>
                    </w:rPr>
                    <w:t>满载总质量25000kg</w:t>
                  </w:r>
                </w:p>
              </w:tc>
              <w:tc>
                <w:tcPr>
                  <w:tcW w:w="446" w:type="pct"/>
                  <w:vAlign w:val="center"/>
                </w:tcPr>
                <w:p>
                  <w:pPr>
                    <w:spacing w:line="360" w:lineRule="auto"/>
                    <w:jc w:val="center"/>
                    <w:rPr>
                      <w:szCs w:val="21"/>
                    </w:rPr>
                  </w:pPr>
                  <w:r>
                    <w:rPr>
                      <w:szCs w:val="21"/>
                    </w:rPr>
                    <w:t>辆</w:t>
                  </w:r>
                </w:p>
              </w:tc>
              <w:tc>
                <w:tcPr>
                  <w:tcW w:w="446" w:type="pct"/>
                  <w:vAlign w:val="center"/>
                </w:tcPr>
                <w:p>
                  <w:pPr>
                    <w:spacing w:line="360" w:lineRule="auto"/>
                    <w:jc w:val="center"/>
                    <w:rPr>
                      <w:szCs w:val="21"/>
                    </w:rPr>
                  </w:pPr>
                  <w:r>
                    <w:rPr>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pct"/>
                  <w:vAlign w:val="center"/>
                </w:tcPr>
                <w:p>
                  <w:pPr>
                    <w:spacing w:line="360" w:lineRule="auto"/>
                    <w:jc w:val="center"/>
                    <w:rPr>
                      <w:szCs w:val="21"/>
                    </w:rPr>
                  </w:pPr>
                  <w:r>
                    <w:rPr>
                      <w:szCs w:val="21"/>
                    </w:rPr>
                    <w:t>8</w:t>
                  </w:r>
                </w:p>
              </w:tc>
              <w:tc>
                <w:tcPr>
                  <w:tcW w:w="1675" w:type="pct"/>
                  <w:vAlign w:val="center"/>
                </w:tcPr>
                <w:p>
                  <w:pPr>
                    <w:spacing w:line="360" w:lineRule="auto"/>
                    <w:jc w:val="center"/>
                    <w:rPr>
                      <w:szCs w:val="21"/>
                    </w:rPr>
                  </w:pPr>
                  <w:r>
                    <w:rPr>
                      <w:szCs w:val="21"/>
                    </w:rPr>
                    <w:t>压滤液转运车</w:t>
                  </w:r>
                </w:p>
              </w:tc>
              <w:tc>
                <w:tcPr>
                  <w:tcW w:w="1987" w:type="pct"/>
                  <w:vAlign w:val="center"/>
                </w:tcPr>
                <w:p>
                  <w:pPr>
                    <w:spacing w:line="360" w:lineRule="auto"/>
                    <w:jc w:val="center"/>
                    <w:rPr>
                      <w:szCs w:val="21"/>
                    </w:rPr>
                  </w:pPr>
                  <w:r>
                    <w:rPr>
                      <w:szCs w:val="21"/>
                    </w:rPr>
                    <w:t>满载总质量5t，带自吸功能</w:t>
                  </w:r>
                </w:p>
              </w:tc>
              <w:tc>
                <w:tcPr>
                  <w:tcW w:w="446" w:type="pct"/>
                  <w:vAlign w:val="center"/>
                </w:tcPr>
                <w:p>
                  <w:pPr>
                    <w:spacing w:line="360" w:lineRule="auto"/>
                    <w:jc w:val="center"/>
                    <w:rPr>
                      <w:szCs w:val="21"/>
                    </w:rPr>
                  </w:pPr>
                  <w:r>
                    <w:rPr>
                      <w:szCs w:val="21"/>
                    </w:rPr>
                    <w:t>辆</w:t>
                  </w:r>
                </w:p>
              </w:tc>
              <w:tc>
                <w:tcPr>
                  <w:tcW w:w="446" w:type="pct"/>
                  <w:vAlign w:val="center"/>
                </w:tcPr>
                <w:p>
                  <w:pPr>
                    <w:spacing w:line="360" w:lineRule="auto"/>
                    <w:jc w:val="center"/>
                    <w:rPr>
                      <w:szCs w:val="21"/>
                    </w:rPr>
                  </w:pPr>
                  <w:r>
                    <w:rPr>
                      <w:szCs w:val="21"/>
                    </w:rPr>
                    <w:t>1</w:t>
                  </w:r>
                </w:p>
              </w:tc>
            </w:tr>
          </w:tbl>
          <w:p>
            <w:pPr>
              <w:spacing w:line="360" w:lineRule="auto"/>
              <w:ind w:firstLine="482"/>
              <w:rPr>
                <w:sz w:val="24"/>
                <w:szCs w:val="24"/>
              </w:rPr>
            </w:pPr>
            <w:r>
              <w:rPr>
                <w:rFonts w:hint="eastAsia"/>
                <w:sz w:val="24"/>
                <w:szCs w:val="24"/>
              </w:rPr>
              <w:t>本项目主要材料消耗表见表</w:t>
            </w:r>
            <w:r>
              <w:rPr>
                <w:sz w:val="24"/>
                <w:szCs w:val="24"/>
              </w:rPr>
              <w:t>5</w:t>
            </w:r>
            <w:r>
              <w:rPr>
                <w:rFonts w:hint="eastAsia"/>
                <w:sz w:val="24"/>
                <w:szCs w:val="24"/>
              </w:rPr>
              <w:t>、表</w:t>
            </w:r>
            <w:r>
              <w:rPr>
                <w:sz w:val="24"/>
                <w:szCs w:val="24"/>
              </w:rPr>
              <w:t>6</w:t>
            </w:r>
            <w:r>
              <w:rPr>
                <w:rFonts w:hint="eastAsia"/>
                <w:sz w:val="24"/>
                <w:szCs w:val="24"/>
              </w:rPr>
              <w:t>。</w:t>
            </w:r>
          </w:p>
          <w:p>
            <w:pPr>
              <w:autoSpaceDE w:val="0"/>
              <w:autoSpaceDN w:val="0"/>
              <w:spacing w:line="360" w:lineRule="auto"/>
              <w:jc w:val="center"/>
              <w:textAlignment w:val="auto"/>
              <w:rPr>
                <w:sz w:val="24"/>
                <w:szCs w:val="24"/>
              </w:rPr>
            </w:pPr>
            <w:r>
              <w:rPr>
                <w:rFonts w:hint="eastAsia"/>
                <w:sz w:val="24"/>
                <w:szCs w:val="24"/>
              </w:rPr>
              <w:t>表</w:t>
            </w:r>
            <w:r>
              <w:rPr>
                <w:sz w:val="24"/>
                <w:szCs w:val="24"/>
              </w:rPr>
              <w:t xml:space="preserve">5 </w:t>
            </w:r>
            <w:r>
              <w:rPr>
                <w:rFonts w:hint="eastAsia"/>
                <w:sz w:val="24"/>
                <w:szCs w:val="24"/>
              </w:rPr>
              <w:t>主城区垃圾转运站</w:t>
            </w:r>
            <w:r>
              <w:rPr>
                <w:sz w:val="24"/>
                <w:szCs w:val="24"/>
              </w:rPr>
              <w:t>主要材料消耗表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6"/>
              <w:gridCol w:w="2648"/>
              <w:gridCol w:w="2337"/>
              <w:gridCol w:w="2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0" w:type="dxa"/>
                  <w:vAlign w:val="bottom"/>
                </w:tcPr>
                <w:p>
                  <w:pPr>
                    <w:widowControl/>
                    <w:spacing w:line="360" w:lineRule="auto"/>
                    <w:jc w:val="center"/>
                    <w:rPr>
                      <w:szCs w:val="21"/>
                    </w:rPr>
                  </w:pPr>
                  <w:r>
                    <w:rPr>
                      <w:szCs w:val="21"/>
                    </w:rPr>
                    <w:t>编号</w:t>
                  </w:r>
                </w:p>
              </w:tc>
              <w:tc>
                <w:tcPr>
                  <w:tcW w:w="2761" w:type="dxa"/>
                  <w:vAlign w:val="bottom"/>
                </w:tcPr>
                <w:p>
                  <w:pPr>
                    <w:widowControl/>
                    <w:spacing w:line="360" w:lineRule="auto"/>
                    <w:jc w:val="center"/>
                    <w:rPr>
                      <w:szCs w:val="21"/>
                    </w:rPr>
                  </w:pPr>
                  <w:r>
                    <w:rPr>
                      <w:szCs w:val="21"/>
                    </w:rPr>
                    <w:t>名称</w:t>
                  </w:r>
                </w:p>
              </w:tc>
              <w:tc>
                <w:tcPr>
                  <w:tcW w:w="2372" w:type="dxa"/>
                  <w:vAlign w:val="bottom"/>
                </w:tcPr>
                <w:p>
                  <w:pPr>
                    <w:widowControl/>
                    <w:spacing w:line="360" w:lineRule="auto"/>
                    <w:jc w:val="center"/>
                    <w:rPr>
                      <w:szCs w:val="21"/>
                    </w:rPr>
                  </w:pPr>
                  <w:r>
                    <w:rPr>
                      <w:szCs w:val="21"/>
                    </w:rPr>
                    <w:t>消耗量</w:t>
                  </w:r>
                </w:p>
              </w:tc>
              <w:tc>
                <w:tcPr>
                  <w:tcW w:w="2951" w:type="dxa"/>
                  <w:vAlign w:val="bottom"/>
                </w:tcPr>
                <w:p>
                  <w:pPr>
                    <w:widowControl/>
                    <w:spacing w:line="360" w:lineRule="auto"/>
                    <w:jc w:val="center"/>
                    <w:rPr>
                      <w:szCs w:val="21"/>
                    </w:rPr>
                  </w:pPr>
                  <w:r>
                    <w:rPr>
                      <w:szCs w:val="21"/>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0" w:type="dxa"/>
                  <w:vAlign w:val="center"/>
                </w:tcPr>
                <w:p>
                  <w:pPr>
                    <w:widowControl/>
                    <w:spacing w:line="360" w:lineRule="auto"/>
                    <w:jc w:val="center"/>
                    <w:rPr>
                      <w:bCs/>
                      <w:szCs w:val="21"/>
                    </w:rPr>
                  </w:pPr>
                  <w:r>
                    <w:rPr>
                      <w:bCs/>
                      <w:szCs w:val="21"/>
                    </w:rPr>
                    <w:t>1</w:t>
                  </w:r>
                </w:p>
              </w:tc>
              <w:tc>
                <w:tcPr>
                  <w:tcW w:w="2761" w:type="dxa"/>
                  <w:vAlign w:val="center"/>
                </w:tcPr>
                <w:p>
                  <w:pPr>
                    <w:widowControl/>
                    <w:spacing w:line="360" w:lineRule="auto"/>
                    <w:jc w:val="center"/>
                    <w:rPr>
                      <w:bCs/>
                      <w:szCs w:val="21"/>
                    </w:rPr>
                  </w:pPr>
                  <w:r>
                    <w:rPr>
                      <w:bCs/>
                      <w:szCs w:val="21"/>
                    </w:rPr>
                    <w:t>水</w:t>
                  </w:r>
                </w:p>
              </w:tc>
              <w:tc>
                <w:tcPr>
                  <w:tcW w:w="2372" w:type="dxa"/>
                  <w:vAlign w:val="center"/>
                </w:tcPr>
                <w:p>
                  <w:pPr>
                    <w:widowControl/>
                    <w:spacing w:line="360" w:lineRule="auto"/>
                    <w:jc w:val="center"/>
                    <w:rPr>
                      <w:bCs/>
                      <w:szCs w:val="21"/>
                    </w:rPr>
                  </w:pPr>
                  <w:r>
                    <w:rPr>
                      <w:bCs/>
                      <w:szCs w:val="21"/>
                    </w:rPr>
                    <w:t>1467.3m</w:t>
                  </w:r>
                  <w:r>
                    <w:rPr>
                      <w:bCs/>
                      <w:szCs w:val="21"/>
                      <w:vertAlign w:val="superscript"/>
                    </w:rPr>
                    <w:t>3</w:t>
                  </w:r>
                  <w:r>
                    <w:rPr>
                      <w:bCs/>
                      <w:szCs w:val="21"/>
                    </w:rPr>
                    <w:t>/a</w:t>
                  </w:r>
                </w:p>
              </w:tc>
              <w:tc>
                <w:tcPr>
                  <w:tcW w:w="2951" w:type="dxa"/>
                  <w:vAlign w:val="center"/>
                </w:tcPr>
                <w:p>
                  <w:pPr>
                    <w:widowControl/>
                    <w:spacing w:line="360" w:lineRule="auto"/>
                    <w:jc w:val="center"/>
                    <w:rPr>
                      <w:bCs/>
                      <w:szCs w:val="21"/>
                    </w:rPr>
                  </w:pPr>
                  <w:r>
                    <w:rPr>
                      <w:rFonts w:hint="eastAsia"/>
                      <w:bCs/>
                      <w:szCs w:val="21"/>
                    </w:rPr>
                    <w:t>自备水井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0" w:type="dxa"/>
                  <w:vAlign w:val="center"/>
                </w:tcPr>
                <w:p>
                  <w:pPr>
                    <w:widowControl/>
                    <w:spacing w:line="360" w:lineRule="auto"/>
                    <w:jc w:val="center"/>
                    <w:rPr>
                      <w:bCs/>
                      <w:szCs w:val="21"/>
                    </w:rPr>
                  </w:pPr>
                  <w:r>
                    <w:rPr>
                      <w:bCs/>
                      <w:szCs w:val="21"/>
                    </w:rPr>
                    <w:t>2</w:t>
                  </w:r>
                </w:p>
              </w:tc>
              <w:tc>
                <w:tcPr>
                  <w:tcW w:w="2761" w:type="dxa"/>
                  <w:vAlign w:val="center"/>
                </w:tcPr>
                <w:p>
                  <w:pPr>
                    <w:widowControl/>
                    <w:spacing w:line="360" w:lineRule="auto"/>
                    <w:jc w:val="center"/>
                    <w:rPr>
                      <w:bCs/>
                      <w:szCs w:val="21"/>
                    </w:rPr>
                  </w:pPr>
                  <w:r>
                    <w:rPr>
                      <w:bCs/>
                      <w:szCs w:val="21"/>
                    </w:rPr>
                    <w:t>电</w:t>
                  </w:r>
                </w:p>
              </w:tc>
              <w:tc>
                <w:tcPr>
                  <w:tcW w:w="2372" w:type="dxa"/>
                  <w:vAlign w:val="center"/>
                </w:tcPr>
                <w:p>
                  <w:pPr>
                    <w:widowControl/>
                    <w:spacing w:line="360" w:lineRule="auto"/>
                    <w:jc w:val="center"/>
                    <w:rPr>
                      <w:bCs/>
                      <w:szCs w:val="21"/>
                    </w:rPr>
                  </w:pPr>
                  <w:r>
                    <w:rPr>
                      <w:rFonts w:hint="eastAsia" w:cs="宋体"/>
                      <w:szCs w:val="21"/>
                    </w:rPr>
                    <w:t>29.85×10</w:t>
                  </w:r>
                  <w:r>
                    <w:rPr>
                      <w:rFonts w:hint="eastAsia" w:cs="宋体"/>
                      <w:szCs w:val="21"/>
                      <w:vertAlign w:val="superscript"/>
                    </w:rPr>
                    <w:t>5</w:t>
                  </w:r>
                  <w:r>
                    <w:rPr>
                      <w:rFonts w:hint="eastAsia" w:cs="宋体"/>
                      <w:szCs w:val="21"/>
                    </w:rPr>
                    <w:t>kW</w:t>
                  </w:r>
                  <w:r>
                    <w:rPr>
                      <w:szCs w:val="21"/>
                    </w:rPr>
                    <w:t>·</w:t>
                  </w:r>
                  <w:r>
                    <w:rPr>
                      <w:rFonts w:hint="eastAsia" w:cs="宋体"/>
                      <w:szCs w:val="21"/>
                    </w:rPr>
                    <w:t>h</w:t>
                  </w:r>
                </w:p>
              </w:tc>
              <w:tc>
                <w:tcPr>
                  <w:tcW w:w="2951" w:type="dxa"/>
                  <w:vAlign w:val="center"/>
                </w:tcPr>
                <w:p>
                  <w:pPr>
                    <w:widowControl/>
                    <w:spacing w:line="360" w:lineRule="auto"/>
                    <w:jc w:val="center"/>
                    <w:rPr>
                      <w:bCs/>
                      <w:szCs w:val="21"/>
                    </w:rPr>
                  </w:pPr>
                  <w:r>
                    <w:rPr>
                      <w:rFonts w:hint="eastAsia"/>
                      <w:bCs/>
                      <w:szCs w:val="21"/>
                    </w:rPr>
                    <w:t>生活垃圾收集站</w:t>
                  </w:r>
                  <w:r>
                    <w:rPr>
                      <w:bCs/>
                      <w:szCs w:val="21"/>
                    </w:rPr>
                    <w:t>供给</w:t>
                  </w:r>
                </w:p>
              </w:tc>
            </w:tr>
          </w:tbl>
          <w:p>
            <w:pPr>
              <w:autoSpaceDE w:val="0"/>
              <w:autoSpaceDN w:val="0"/>
              <w:spacing w:line="360" w:lineRule="auto"/>
              <w:jc w:val="center"/>
              <w:textAlignment w:val="auto"/>
              <w:rPr>
                <w:sz w:val="24"/>
                <w:szCs w:val="24"/>
              </w:rPr>
            </w:pPr>
            <w:r>
              <w:rPr>
                <w:rFonts w:hint="eastAsia"/>
                <w:sz w:val="24"/>
                <w:szCs w:val="24"/>
              </w:rPr>
              <w:t>表</w:t>
            </w:r>
            <w:r>
              <w:rPr>
                <w:sz w:val="24"/>
                <w:szCs w:val="24"/>
              </w:rPr>
              <w:t xml:space="preserve">6 </w:t>
            </w:r>
            <w:r>
              <w:rPr>
                <w:rFonts w:hint="eastAsia"/>
                <w:sz w:val="24"/>
                <w:szCs w:val="24"/>
              </w:rPr>
              <w:t>寿王坟镇垃圾转运站</w:t>
            </w:r>
            <w:r>
              <w:rPr>
                <w:sz w:val="24"/>
                <w:szCs w:val="24"/>
              </w:rPr>
              <w:t>主要材料消耗表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8"/>
              <w:gridCol w:w="2660"/>
              <w:gridCol w:w="2134"/>
              <w:gridCol w:w="3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8" w:type="dxa"/>
                  <w:vAlign w:val="bottom"/>
                </w:tcPr>
                <w:p>
                  <w:pPr>
                    <w:widowControl/>
                    <w:spacing w:line="360" w:lineRule="auto"/>
                    <w:jc w:val="center"/>
                    <w:rPr>
                      <w:szCs w:val="21"/>
                    </w:rPr>
                  </w:pPr>
                  <w:r>
                    <w:rPr>
                      <w:szCs w:val="21"/>
                    </w:rPr>
                    <w:t>编号</w:t>
                  </w:r>
                </w:p>
              </w:tc>
              <w:tc>
                <w:tcPr>
                  <w:tcW w:w="2660" w:type="dxa"/>
                  <w:vAlign w:val="bottom"/>
                </w:tcPr>
                <w:p>
                  <w:pPr>
                    <w:widowControl/>
                    <w:spacing w:line="360" w:lineRule="auto"/>
                    <w:jc w:val="center"/>
                    <w:rPr>
                      <w:szCs w:val="21"/>
                    </w:rPr>
                  </w:pPr>
                  <w:r>
                    <w:rPr>
                      <w:szCs w:val="21"/>
                    </w:rPr>
                    <w:t>名称</w:t>
                  </w:r>
                </w:p>
              </w:tc>
              <w:tc>
                <w:tcPr>
                  <w:tcW w:w="2134" w:type="dxa"/>
                  <w:vAlign w:val="bottom"/>
                </w:tcPr>
                <w:p>
                  <w:pPr>
                    <w:widowControl/>
                    <w:spacing w:line="360" w:lineRule="auto"/>
                    <w:jc w:val="center"/>
                    <w:rPr>
                      <w:szCs w:val="21"/>
                    </w:rPr>
                  </w:pPr>
                  <w:r>
                    <w:rPr>
                      <w:szCs w:val="21"/>
                    </w:rPr>
                    <w:t>消耗量</w:t>
                  </w:r>
                </w:p>
              </w:tc>
              <w:tc>
                <w:tcPr>
                  <w:tcW w:w="3018" w:type="dxa"/>
                  <w:vAlign w:val="bottom"/>
                </w:tcPr>
                <w:p>
                  <w:pPr>
                    <w:widowControl/>
                    <w:spacing w:line="360" w:lineRule="auto"/>
                    <w:jc w:val="center"/>
                    <w:rPr>
                      <w:szCs w:val="21"/>
                    </w:rPr>
                  </w:pPr>
                  <w:r>
                    <w:rPr>
                      <w:szCs w:val="21"/>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8" w:type="dxa"/>
                  <w:vAlign w:val="center"/>
                </w:tcPr>
                <w:p>
                  <w:pPr>
                    <w:widowControl/>
                    <w:spacing w:line="360" w:lineRule="auto"/>
                    <w:jc w:val="center"/>
                    <w:rPr>
                      <w:bCs/>
                      <w:szCs w:val="21"/>
                    </w:rPr>
                  </w:pPr>
                  <w:r>
                    <w:rPr>
                      <w:bCs/>
                      <w:szCs w:val="21"/>
                    </w:rPr>
                    <w:t>1</w:t>
                  </w:r>
                </w:p>
              </w:tc>
              <w:tc>
                <w:tcPr>
                  <w:tcW w:w="2660" w:type="dxa"/>
                  <w:vAlign w:val="center"/>
                </w:tcPr>
                <w:p>
                  <w:pPr>
                    <w:widowControl/>
                    <w:spacing w:line="360" w:lineRule="auto"/>
                    <w:jc w:val="center"/>
                    <w:rPr>
                      <w:bCs/>
                      <w:szCs w:val="21"/>
                    </w:rPr>
                  </w:pPr>
                  <w:r>
                    <w:rPr>
                      <w:bCs/>
                      <w:szCs w:val="21"/>
                    </w:rPr>
                    <w:t>水</w:t>
                  </w:r>
                </w:p>
              </w:tc>
              <w:tc>
                <w:tcPr>
                  <w:tcW w:w="2134" w:type="dxa"/>
                  <w:vAlign w:val="center"/>
                </w:tcPr>
                <w:p>
                  <w:pPr>
                    <w:widowControl/>
                    <w:spacing w:line="360" w:lineRule="auto"/>
                    <w:jc w:val="center"/>
                    <w:rPr>
                      <w:bCs/>
                      <w:szCs w:val="21"/>
                    </w:rPr>
                  </w:pPr>
                  <w:r>
                    <w:rPr>
                      <w:bCs/>
                      <w:szCs w:val="21"/>
                    </w:rPr>
                    <w:t>365m</w:t>
                  </w:r>
                  <w:r>
                    <w:rPr>
                      <w:bCs/>
                      <w:szCs w:val="21"/>
                      <w:vertAlign w:val="superscript"/>
                    </w:rPr>
                    <w:t>3</w:t>
                  </w:r>
                  <w:r>
                    <w:rPr>
                      <w:bCs/>
                      <w:szCs w:val="21"/>
                    </w:rPr>
                    <w:t>/a</w:t>
                  </w:r>
                </w:p>
              </w:tc>
              <w:tc>
                <w:tcPr>
                  <w:tcW w:w="3018" w:type="dxa"/>
                  <w:vAlign w:val="center"/>
                </w:tcPr>
                <w:p>
                  <w:pPr>
                    <w:widowControl/>
                    <w:spacing w:line="360" w:lineRule="auto"/>
                    <w:jc w:val="center"/>
                    <w:rPr>
                      <w:bCs/>
                      <w:szCs w:val="21"/>
                    </w:rPr>
                  </w:pPr>
                  <w:r>
                    <w:rPr>
                      <w:rFonts w:hint="eastAsia"/>
                      <w:bCs/>
                      <w:szCs w:val="21"/>
                    </w:rPr>
                    <w:t>寿王坟镇生活污水处理厂</w:t>
                  </w:r>
                  <w:r>
                    <w:rPr>
                      <w:bCs/>
                      <w:szCs w:val="21"/>
                    </w:rPr>
                    <w:t>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8" w:type="dxa"/>
                  <w:vAlign w:val="center"/>
                </w:tcPr>
                <w:p>
                  <w:pPr>
                    <w:widowControl/>
                    <w:spacing w:line="360" w:lineRule="auto"/>
                    <w:jc w:val="center"/>
                    <w:rPr>
                      <w:bCs/>
                      <w:szCs w:val="21"/>
                    </w:rPr>
                  </w:pPr>
                  <w:r>
                    <w:rPr>
                      <w:bCs/>
                      <w:szCs w:val="21"/>
                    </w:rPr>
                    <w:t>2</w:t>
                  </w:r>
                </w:p>
              </w:tc>
              <w:tc>
                <w:tcPr>
                  <w:tcW w:w="2660" w:type="dxa"/>
                  <w:vAlign w:val="center"/>
                </w:tcPr>
                <w:p>
                  <w:pPr>
                    <w:widowControl/>
                    <w:spacing w:line="360" w:lineRule="auto"/>
                    <w:jc w:val="center"/>
                    <w:rPr>
                      <w:bCs/>
                      <w:szCs w:val="21"/>
                    </w:rPr>
                  </w:pPr>
                  <w:r>
                    <w:rPr>
                      <w:bCs/>
                      <w:szCs w:val="21"/>
                    </w:rPr>
                    <w:t>电</w:t>
                  </w:r>
                </w:p>
              </w:tc>
              <w:tc>
                <w:tcPr>
                  <w:tcW w:w="2134" w:type="dxa"/>
                  <w:vAlign w:val="center"/>
                </w:tcPr>
                <w:p>
                  <w:pPr>
                    <w:widowControl/>
                    <w:spacing w:line="360" w:lineRule="auto"/>
                    <w:jc w:val="center"/>
                    <w:rPr>
                      <w:bCs/>
                      <w:szCs w:val="21"/>
                    </w:rPr>
                  </w:pPr>
                  <w:r>
                    <w:rPr>
                      <w:rFonts w:hint="eastAsia" w:cs="宋体"/>
                      <w:szCs w:val="21"/>
                    </w:rPr>
                    <w:t>3.285×10</w:t>
                  </w:r>
                  <w:r>
                    <w:rPr>
                      <w:rFonts w:hint="eastAsia" w:cs="宋体"/>
                      <w:szCs w:val="21"/>
                      <w:vertAlign w:val="superscript"/>
                    </w:rPr>
                    <w:t>5</w:t>
                  </w:r>
                  <w:r>
                    <w:rPr>
                      <w:rFonts w:hint="eastAsia" w:cs="宋体"/>
                      <w:szCs w:val="21"/>
                    </w:rPr>
                    <w:t>kw</w:t>
                  </w:r>
                  <w:r>
                    <w:rPr>
                      <w:szCs w:val="21"/>
                    </w:rPr>
                    <w:t>·</w:t>
                  </w:r>
                  <w:r>
                    <w:rPr>
                      <w:rFonts w:hint="eastAsia" w:cs="宋体"/>
                      <w:szCs w:val="21"/>
                    </w:rPr>
                    <w:t>h</w:t>
                  </w:r>
                </w:p>
              </w:tc>
              <w:tc>
                <w:tcPr>
                  <w:tcW w:w="3018" w:type="dxa"/>
                  <w:vAlign w:val="center"/>
                </w:tcPr>
                <w:p>
                  <w:pPr>
                    <w:widowControl/>
                    <w:spacing w:line="360" w:lineRule="auto"/>
                    <w:jc w:val="center"/>
                    <w:rPr>
                      <w:bCs/>
                      <w:szCs w:val="21"/>
                    </w:rPr>
                  </w:pPr>
                  <w:r>
                    <w:rPr>
                      <w:rFonts w:hint="eastAsia"/>
                      <w:bCs/>
                      <w:szCs w:val="21"/>
                    </w:rPr>
                    <w:t>生活垃圾收集站</w:t>
                  </w:r>
                  <w:r>
                    <w:rPr>
                      <w:bCs/>
                      <w:szCs w:val="21"/>
                    </w:rPr>
                    <w:t>供给</w:t>
                  </w:r>
                </w:p>
              </w:tc>
            </w:tr>
          </w:tbl>
          <w:p>
            <w:pPr>
              <w:spacing w:line="360" w:lineRule="auto"/>
              <w:ind w:firstLine="482"/>
              <w:rPr>
                <w:b/>
                <w:sz w:val="24"/>
                <w:szCs w:val="24"/>
              </w:rPr>
            </w:pPr>
            <w:r>
              <w:rPr>
                <w:b/>
                <w:sz w:val="24"/>
                <w:szCs w:val="24"/>
              </w:rPr>
              <w:t>5</w:t>
            </w:r>
            <w:r>
              <w:rPr>
                <w:rFonts w:hint="eastAsia"/>
                <w:b/>
                <w:sz w:val="24"/>
                <w:szCs w:val="24"/>
              </w:rPr>
              <w:t>、总平面布置</w:t>
            </w:r>
          </w:p>
          <w:p>
            <w:pPr>
              <w:spacing w:line="360" w:lineRule="auto"/>
              <w:ind w:firstLine="480" w:firstLineChars="200"/>
              <w:rPr>
                <w:bCs/>
                <w:sz w:val="24"/>
                <w:szCs w:val="24"/>
              </w:rPr>
            </w:pPr>
            <w:r>
              <w:rPr>
                <w:rFonts w:hint="eastAsia"/>
                <w:bCs/>
                <w:sz w:val="24"/>
                <w:szCs w:val="24"/>
              </w:rPr>
              <w:t>1）总平面布置</w:t>
            </w:r>
          </w:p>
          <w:p>
            <w:pPr>
              <w:spacing w:line="360" w:lineRule="auto"/>
              <w:ind w:firstLine="480" w:firstLineChars="200"/>
              <w:rPr>
                <w:sz w:val="24"/>
                <w:szCs w:val="24"/>
              </w:rPr>
            </w:pPr>
            <w:r>
              <w:rPr>
                <w:rFonts w:hint="eastAsia" w:cs="宋体"/>
                <w:sz w:val="24"/>
                <w:szCs w:val="24"/>
              </w:rPr>
              <w:t>承德市鹰手营子矿区主城区生活垃圾转运站厂区经纬度为</w:t>
            </w:r>
            <w:r>
              <w:rPr>
                <w:rFonts w:hint="eastAsia"/>
                <w:sz w:val="24"/>
                <w:szCs w:val="24"/>
              </w:rPr>
              <w:t>北纬：40</w:t>
            </w:r>
            <w:r>
              <w:rPr>
                <w:sz w:val="24"/>
                <w:szCs w:val="24"/>
              </w:rPr>
              <w:t>°</w:t>
            </w:r>
            <w:r>
              <w:rPr>
                <w:rFonts w:hint="eastAsia"/>
                <w:sz w:val="24"/>
                <w:szCs w:val="24"/>
              </w:rPr>
              <w:t>32</w:t>
            </w:r>
            <w:r>
              <w:rPr>
                <w:sz w:val="24"/>
                <w:szCs w:val="24"/>
              </w:rPr>
              <w:t>′</w:t>
            </w:r>
            <w:r>
              <w:rPr>
                <w:rFonts w:hint="eastAsia"/>
                <w:sz w:val="24"/>
                <w:szCs w:val="24"/>
              </w:rPr>
              <w:t>24</w:t>
            </w:r>
            <w:r>
              <w:rPr>
                <w:sz w:val="24"/>
                <w:szCs w:val="24"/>
              </w:rPr>
              <w:t>″</w:t>
            </w:r>
            <w:r>
              <w:rPr>
                <w:rFonts w:hint="eastAsia"/>
                <w:sz w:val="24"/>
                <w:szCs w:val="24"/>
              </w:rPr>
              <w:t>、东经：117</w:t>
            </w:r>
            <w:r>
              <w:rPr>
                <w:sz w:val="24"/>
                <w:szCs w:val="24"/>
              </w:rPr>
              <w:t>°</w:t>
            </w:r>
            <w:r>
              <w:rPr>
                <w:rFonts w:hint="eastAsia"/>
                <w:sz w:val="24"/>
                <w:szCs w:val="24"/>
              </w:rPr>
              <w:t>41</w:t>
            </w:r>
            <w:r>
              <w:rPr>
                <w:sz w:val="24"/>
                <w:szCs w:val="24"/>
              </w:rPr>
              <w:t>′</w:t>
            </w:r>
            <w:r>
              <w:rPr>
                <w:rFonts w:hint="eastAsia"/>
                <w:sz w:val="24"/>
                <w:szCs w:val="24"/>
              </w:rPr>
              <w:t>24</w:t>
            </w:r>
            <w:r>
              <w:rPr>
                <w:sz w:val="24"/>
                <w:szCs w:val="24"/>
              </w:rPr>
              <w:t>″</w:t>
            </w:r>
            <w:r>
              <w:rPr>
                <w:rFonts w:hint="eastAsia"/>
                <w:sz w:val="24"/>
                <w:szCs w:val="24"/>
              </w:rPr>
              <w:t>，厂区地势宽阔平坦，远离居住区，不会对环境产生不良影响</w:t>
            </w:r>
            <w:r>
              <w:rPr>
                <w:rFonts w:hint="eastAsia" w:cs="宋体"/>
                <w:sz w:val="24"/>
                <w:szCs w:val="24"/>
              </w:rPr>
              <w:t>。寿王坟镇生活垃圾转运站厂区经纬度为</w:t>
            </w:r>
            <w:r>
              <w:rPr>
                <w:rFonts w:hint="eastAsia"/>
                <w:sz w:val="24"/>
                <w:szCs w:val="24"/>
              </w:rPr>
              <w:t>北纬：40</w:t>
            </w:r>
            <w:r>
              <w:rPr>
                <w:sz w:val="24"/>
                <w:szCs w:val="24"/>
              </w:rPr>
              <w:t>°</w:t>
            </w:r>
            <w:r>
              <w:rPr>
                <w:rFonts w:hint="eastAsia"/>
                <w:sz w:val="24"/>
                <w:szCs w:val="24"/>
              </w:rPr>
              <w:t>36</w:t>
            </w:r>
            <w:r>
              <w:rPr>
                <w:sz w:val="24"/>
                <w:szCs w:val="24"/>
              </w:rPr>
              <w:t>′</w:t>
            </w:r>
            <w:r>
              <w:rPr>
                <w:rFonts w:hint="eastAsia"/>
                <w:sz w:val="24"/>
                <w:szCs w:val="24"/>
              </w:rPr>
              <w:t>00</w:t>
            </w:r>
            <w:r>
              <w:rPr>
                <w:sz w:val="24"/>
                <w:szCs w:val="24"/>
              </w:rPr>
              <w:t>″</w:t>
            </w:r>
            <w:r>
              <w:rPr>
                <w:rFonts w:hint="eastAsia"/>
                <w:sz w:val="24"/>
                <w:szCs w:val="24"/>
              </w:rPr>
              <w:t>、东经：117</w:t>
            </w:r>
            <w:r>
              <w:rPr>
                <w:sz w:val="24"/>
                <w:szCs w:val="24"/>
              </w:rPr>
              <w:t>°</w:t>
            </w:r>
            <w:r>
              <w:rPr>
                <w:rFonts w:hint="eastAsia"/>
                <w:sz w:val="24"/>
                <w:szCs w:val="24"/>
              </w:rPr>
              <w:t>46</w:t>
            </w:r>
            <w:r>
              <w:rPr>
                <w:sz w:val="24"/>
                <w:szCs w:val="24"/>
              </w:rPr>
              <w:t>′</w:t>
            </w:r>
            <w:r>
              <w:rPr>
                <w:rFonts w:hint="eastAsia"/>
                <w:sz w:val="24"/>
                <w:szCs w:val="24"/>
              </w:rPr>
              <w:t>12</w:t>
            </w:r>
            <w:r>
              <w:rPr>
                <w:sz w:val="24"/>
                <w:szCs w:val="24"/>
              </w:rPr>
              <w:t>″</w:t>
            </w:r>
            <w:r>
              <w:rPr>
                <w:rFonts w:hint="eastAsia" w:cs="宋体"/>
                <w:sz w:val="24"/>
                <w:szCs w:val="24"/>
              </w:rPr>
              <w:t>，</w:t>
            </w:r>
            <w:r>
              <w:rPr>
                <w:rFonts w:hint="eastAsia"/>
                <w:sz w:val="24"/>
                <w:szCs w:val="24"/>
              </w:rPr>
              <w:t>厂区东侧</w:t>
            </w:r>
            <w:r>
              <w:rPr>
                <w:sz w:val="24"/>
                <w:szCs w:val="24"/>
              </w:rPr>
              <w:t>30</w:t>
            </w:r>
            <w:r>
              <w:rPr>
                <w:rFonts w:hint="eastAsia"/>
                <w:sz w:val="24"/>
                <w:szCs w:val="24"/>
              </w:rPr>
              <w:t>m为寿王坟镇生活污水处理厂。本项目两座垃圾转运站布局合理，满足工艺要求，运输顺畅，人流、物流分离，详情见附图</w:t>
            </w:r>
            <w:r>
              <w:rPr>
                <w:sz w:val="24"/>
                <w:szCs w:val="24"/>
              </w:rPr>
              <w:t>2</w:t>
            </w:r>
            <w:r>
              <w:rPr>
                <w:rFonts w:hint="eastAsia"/>
                <w:sz w:val="24"/>
                <w:szCs w:val="24"/>
              </w:rPr>
              <w:t>主城区生活垃圾转运站总平面布置图及寿王坟镇生活垃转运站总平面布置图。</w:t>
            </w:r>
          </w:p>
          <w:p>
            <w:pPr>
              <w:spacing w:line="360" w:lineRule="auto"/>
              <w:ind w:firstLine="480" w:firstLineChars="200"/>
              <w:rPr>
                <w:sz w:val="24"/>
                <w:szCs w:val="24"/>
              </w:rPr>
            </w:pPr>
            <w:r>
              <w:rPr>
                <w:rFonts w:hint="eastAsia"/>
                <w:sz w:val="24"/>
                <w:szCs w:val="24"/>
              </w:rPr>
              <w:t>2）道路设计</w:t>
            </w:r>
          </w:p>
          <w:p>
            <w:pPr>
              <w:spacing w:line="360" w:lineRule="auto"/>
              <w:ind w:firstLine="480" w:firstLineChars="200"/>
              <w:rPr>
                <w:sz w:val="24"/>
                <w:szCs w:val="24"/>
                <w:lang w:val="en-GB"/>
              </w:rPr>
            </w:pPr>
            <w:r>
              <w:rPr>
                <w:rFonts w:hint="eastAsia"/>
                <w:sz w:val="24"/>
                <w:szCs w:val="24"/>
                <w:lang w:val="en-GB"/>
              </w:rPr>
              <w:t>垃圾场内道路主干道宽</w:t>
            </w:r>
            <w:r>
              <w:rPr>
                <w:rFonts w:hint="eastAsia"/>
                <w:sz w:val="24"/>
                <w:szCs w:val="24"/>
              </w:rPr>
              <w:t>约8</w:t>
            </w:r>
            <w:r>
              <w:rPr>
                <w:rFonts w:hint="eastAsia"/>
                <w:sz w:val="24"/>
                <w:szCs w:val="24"/>
                <w:lang w:val="en-GB"/>
              </w:rPr>
              <w:t>m，厂内构成环状，便于设备维修、管道保养及消防等。</w:t>
            </w:r>
          </w:p>
          <w:p>
            <w:pPr>
              <w:spacing w:line="360" w:lineRule="auto"/>
              <w:ind w:firstLine="480" w:firstLineChars="200"/>
              <w:rPr>
                <w:sz w:val="24"/>
                <w:szCs w:val="24"/>
              </w:rPr>
            </w:pPr>
            <w:r>
              <w:rPr>
                <w:rFonts w:hint="eastAsia"/>
                <w:sz w:val="24"/>
                <w:szCs w:val="24"/>
              </w:rPr>
              <w:t>3）绿化设计</w:t>
            </w:r>
          </w:p>
          <w:p>
            <w:pPr>
              <w:spacing w:line="360" w:lineRule="auto"/>
              <w:ind w:firstLine="480" w:firstLineChars="200"/>
              <w:rPr>
                <w:sz w:val="24"/>
                <w:szCs w:val="24"/>
                <w:lang w:val="en-GB"/>
              </w:rPr>
            </w:pPr>
            <w:r>
              <w:rPr>
                <w:rFonts w:hint="eastAsia"/>
                <w:sz w:val="24"/>
                <w:szCs w:val="24"/>
                <w:lang w:val="en-GB"/>
              </w:rPr>
              <w:t>本项目沿围墙及道路两侧种植乔木，对办公楼周围进行重点美化，采用草皮、绿篱、进行布置，绿化率达30%以上。</w:t>
            </w:r>
          </w:p>
          <w:p>
            <w:pPr>
              <w:spacing w:line="360" w:lineRule="auto"/>
              <w:ind w:firstLine="482"/>
              <w:rPr>
                <w:b/>
                <w:sz w:val="24"/>
                <w:szCs w:val="24"/>
              </w:rPr>
            </w:pPr>
            <w:r>
              <w:rPr>
                <w:b/>
                <w:sz w:val="24"/>
                <w:szCs w:val="24"/>
              </w:rPr>
              <w:t>6、项目投资</w:t>
            </w:r>
          </w:p>
          <w:p>
            <w:pPr>
              <w:adjustRightInd/>
              <w:spacing w:line="360" w:lineRule="auto"/>
              <w:ind w:firstLine="480" w:firstLineChars="200"/>
              <w:textAlignment w:val="auto"/>
              <w:rPr>
                <w:bCs/>
                <w:kern w:val="2"/>
                <w:sz w:val="24"/>
                <w:szCs w:val="24"/>
              </w:rPr>
            </w:pPr>
            <w:r>
              <w:rPr>
                <w:sz w:val="24"/>
                <w:szCs w:val="24"/>
              </w:rPr>
              <w:t>本项目总投资</w:t>
            </w:r>
            <w:r>
              <w:rPr>
                <w:rFonts w:hint="eastAsia"/>
                <w:sz w:val="24"/>
                <w:szCs w:val="24"/>
              </w:rPr>
              <w:t>2571.9</w:t>
            </w:r>
            <w:r>
              <w:rPr>
                <w:sz w:val="24"/>
                <w:szCs w:val="24"/>
              </w:rPr>
              <w:t>万元，其中环保投资108万元，占项目总投资的4.2</w:t>
            </w:r>
            <w:r>
              <w:rPr>
                <w:rFonts w:hint="eastAsia"/>
                <w:sz w:val="24"/>
                <w:szCs w:val="24"/>
              </w:rPr>
              <w:t>%</w:t>
            </w:r>
            <w:r>
              <w:rPr>
                <w:bCs/>
                <w:kern w:val="2"/>
                <w:sz w:val="24"/>
                <w:szCs w:val="24"/>
              </w:rPr>
              <w:t>。</w:t>
            </w:r>
          </w:p>
          <w:p>
            <w:pPr>
              <w:spacing w:line="360" w:lineRule="auto"/>
              <w:ind w:firstLine="482"/>
              <w:rPr>
                <w:b/>
                <w:sz w:val="24"/>
                <w:szCs w:val="24"/>
              </w:rPr>
            </w:pPr>
            <w:r>
              <w:rPr>
                <w:b/>
                <w:sz w:val="24"/>
                <w:szCs w:val="24"/>
              </w:rPr>
              <w:t>7、劳动定员及工作制度</w:t>
            </w:r>
          </w:p>
          <w:p>
            <w:pPr>
              <w:spacing w:line="360" w:lineRule="auto"/>
              <w:ind w:firstLine="480" w:firstLineChars="200"/>
              <w:rPr>
                <w:sz w:val="24"/>
                <w:szCs w:val="24"/>
              </w:rPr>
            </w:pPr>
            <w:r>
              <w:rPr>
                <w:rFonts w:hint="eastAsia"/>
                <w:sz w:val="24"/>
                <w:szCs w:val="24"/>
              </w:rPr>
              <w:t>主城区垃圾中转站的人员编制11人，寿王坟镇垃圾中转站的人员编制</w:t>
            </w:r>
            <w:r>
              <w:rPr>
                <w:sz w:val="24"/>
                <w:szCs w:val="24"/>
              </w:rPr>
              <w:t>5</w:t>
            </w:r>
            <w:r>
              <w:rPr>
                <w:rFonts w:hint="eastAsia"/>
                <w:sz w:val="24"/>
                <w:szCs w:val="24"/>
              </w:rPr>
              <w:t>人。两座转运站均实行一班制，全年生产天数为365天，每班8小时。</w:t>
            </w:r>
          </w:p>
          <w:p>
            <w:pPr>
              <w:spacing w:line="360" w:lineRule="auto"/>
              <w:ind w:firstLine="482"/>
              <w:rPr>
                <w:b/>
                <w:sz w:val="24"/>
                <w:szCs w:val="24"/>
              </w:rPr>
            </w:pPr>
            <w:r>
              <w:rPr>
                <w:b/>
                <w:sz w:val="24"/>
                <w:szCs w:val="24"/>
              </w:rPr>
              <w:t>8、公用及辅助工程</w:t>
            </w:r>
          </w:p>
          <w:p>
            <w:pPr>
              <w:spacing w:line="360" w:lineRule="auto"/>
              <w:ind w:firstLine="470" w:firstLineChars="196"/>
              <w:rPr>
                <w:sz w:val="24"/>
                <w:szCs w:val="24"/>
              </w:rPr>
            </w:pPr>
            <w:r>
              <w:rPr>
                <w:rFonts w:hint="eastAsia"/>
                <w:sz w:val="24"/>
                <w:szCs w:val="24"/>
              </w:rPr>
              <w:t>（</w:t>
            </w:r>
            <w:r>
              <w:rPr>
                <w:sz w:val="24"/>
                <w:szCs w:val="24"/>
              </w:rPr>
              <w:t>1</w:t>
            </w:r>
            <w:r>
              <w:rPr>
                <w:rFonts w:hint="eastAsia"/>
                <w:sz w:val="24"/>
                <w:szCs w:val="24"/>
              </w:rPr>
              <w:t>）给排水工程</w:t>
            </w:r>
          </w:p>
          <w:p>
            <w:pPr>
              <w:spacing w:line="360" w:lineRule="auto"/>
              <w:ind w:firstLine="480" w:firstLineChars="200"/>
              <w:rPr>
                <w:bCs/>
                <w:kern w:val="2"/>
                <w:sz w:val="24"/>
                <w:szCs w:val="24"/>
              </w:rPr>
            </w:pPr>
            <w:r>
              <w:rPr>
                <w:rFonts w:ascii="Cambria Math" w:hAnsi="Cambria Math" w:cs="Cambria Math"/>
                <w:sz w:val="24"/>
                <w:szCs w:val="24"/>
              </w:rPr>
              <w:t>①</w:t>
            </w:r>
            <w:r>
              <w:rPr>
                <w:bCs/>
                <w:kern w:val="2"/>
                <w:sz w:val="24"/>
                <w:szCs w:val="24"/>
              </w:rPr>
              <w:t>给水</w:t>
            </w:r>
            <w:r>
              <w:rPr>
                <w:rFonts w:hint="eastAsia"/>
                <w:bCs/>
                <w:kern w:val="2"/>
                <w:sz w:val="24"/>
                <w:szCs w:val="24"/>
              </w:rPr>
              <w:t>工程</w:t>
            </w:r>
          </w:p>
          <w:p>
            <w:pPr>
              <w:spacing w:line="360" w:lineRule="auto"/>
              <w:ind w:firstLine="480" w:firstLineChars="200"/>
              <w:rPr>
                <w:bCs/>
                <w:kern w:val="2"/>
                <w:sz w:val="24"/>
                <w:szCs w:val="24"/>
              </w:rPr>
            </w:pPr>
            <w:r>
              <w:rPr>
                <w:bCs/>
                <w:kern w:val="2"/>
                <w:sz w:val="24"/>
                <w:szCs w:val="24"/>
              </w:rPr>
              <w:t>本项目</w:t>
            </w:r>
            <w:r>
              <w:rPr>
                <w:rFonts w:hint="eastAsia"/>
                <w:bCs/>
                <w:kern w:val="2"/>
                <w:sz w:val="24"/>
                <w:szCs w:val="24"/>
              </w:rPr>
              <w:t>用水</w:t>
            </w:r>
            <w:r>
              <w:rPr>
                <w:bCs/>
                <w:kern w:val="2"/>
                <w:sz w:val="24"/>
                <w:szCs w:val="24"/>
              </w:rPr>
              <w:t>主要</w:t>
            </w:r>
            <w:r>
              <w:rPr>
                <w:rFonts w:hint="eastAsia"/>
                <w:bCs/>
                <w:kern w:val="2"/>
                <w:sz w:val="24"/>
                <w:szCs w:val="24"/>
              </w:rPr>
              <w:t>为冲洗用水</w:t>
            </w:r>
            <w:r>
              <w:rPr>
                <w:bCs/>
                <w:kern w:val="2"/>
                <w:sz w:val="24"/>
                <w:szCs w:val="24"/>
              </w:rPr>
              <w:t>和生活用水。</w:t>
            </w:r>
          </w:p>
          <w:p>
            <w:pPr>
              <w:spacing w:line="360" w:lineRule="auto"/>
              <w:ind w:firstLine="480" w:firstLineChars="200"/>
              <w:rPr>
                <w:sz w:val="24"/>
                <w:szCs w:val="24"/>
              </w:rPr>
            </w:pPr>
            <w:r>
              <w:rPr>
                <w:rFonts w:hint="eastAsia"/>
                <w:sz w:val="24"/>
                <w:szCs w:val="24"/>
              </w:rPr>
              <w:t>A、主城区垃圾转运站，设水源井一眼，采用第四纪冲积层的地下潜水作为本中转站供水水源；</w:t>
            </w:r>
            <w:r>
              <w:rPr>
                <w:sz w:val="24"/>
                <w:szCs w:val="24"/>
              </w:rPr>
              <w:t>给水系统采用生产和生活联合供水系统，管网呈支状布置。生产、生活用水就近接入建筑物，室外给水管网上设室外洒水栓，方便场区道路浇洒及绿化用水。</w:t>
            </w:r>
            <w:r>
              <w:rPr>
                <w:rFonts w:hint="eastAsia"/>
                <w:sz w:val="24"/>
                <w:szCs w:val="24"/>
              </w:rPr>
              <w:t>主城区垃圾转运站</w:t>
            </w:r>
            <w:r>
              <w:rPr>
                <w:sz w:val="24"/>
                <w:szCs w:val="24"/>
              </w:rPr>
              <w:t>总用水量为</w:t>
            </w:r>
            <w:r>
              <w:rPr>
                <w:rFonts w:hint="eastAsia"/>
                <w:sz w:val="24"/>
                <w:szCs w:val="24"/>
              </w:rPr>
              <w:t>4</w:t>
            </w:r>
            <w:r>
              <w:rPr>
                <w:sz w:val="24"/>
                <w:szCs w:val="24"/>
              </w:rPr>
              <w:t>.51m</w:t>
            </w:r>
            <w:r>
              <w:rPr>
                <w:sz w:val="24"/>
                <w:szCs w:val="24"/>
                <w:vertAlign w:val="superscript"/>
              </w:rPr>
              <w:t>3</w:t>
            </w:r>
            <w:r>
              <w:rPr>
                <w:sz w:val="24"/>
                <w:szCs w:val="24"/>
              </w:rPr>
              <w:t>/d</w:t>
            </w:r>
            <w:r>
              <w:rPr>
                <w:rFonts w:hint="eastAsia"/>
                <w:sz w:val="24"/>
                <w:szCs w:val="24"/>
              </w:rPr>
              <w:t>，主要为生活、冲洗用水。</w:t>
            </w:r>
          </w:p>
          <w:p>
            <w:pPr>
              <w:spacing w:line="360" w:lineRule="auto"/>
              <w:ind w:firstLine="480" w:firstLineChars="200"/>
              <w:rPr>
                <w:sz w:val="24"/>
                <w:szCs w:val="24"/>
              </w:rPr>
            </w:pPr>
            <w:r>
              <w:rPr>
                <w:rFonts w:hint="eastAsia"/>
                <w:sz w:val="24"/>
                <w:szCs w:val="24"/>
              </w:rPr>
              <w:t>B、寿王坟镇垃圾转运站与相邻的污水厂（寿王坟镇生活污水处理厂）形成统一供水系统。寿王坟镇垃圾转运站车间清洗用水量为1</w:t>
            </w:r>
            <w:r>
              <w:rPr>
                <w:sz w:val="24"/>
                <w:szCs w:val="24"/>
              </w:rPr>
              <w:t>m</w:t>
            </w:r>
            <w:r>
              <w:rPr>
                <w:sz w:val="24"/>
                <w:szCs w:val="24"/>
                <w:vertAlign w:val="superscript"/>
              </w:rPr>
              <w:t>3</w:t>
            </w:r>
            <w:r>
              <w:rPr>
                <w:sz w:val="24"/>
                <w:szCs w:val="24"/>
              </w:rPr>
              <w:t>/d</w:t>
            </w:r>
            <w:r>
              <w:rPr>
                <w:rFonts w:hint="eastAsia"/>
                <w:sz w:val="24"/>
                <w:szCs w:val="24"/>
              </w:rPr>
              <w:t>，</w:t>
            </w:r>
            <w:r>
              <w:rPr>
                <w:rFonts w:hint="eastAsia"/>
                <w:bCs/>
                <w:kern w:val="2"/>
                <w:sz w:val="24"/>
                <w:szCs w:val="24"/>
              </w:rPr>
              <w:t>排放水0.8m³/d；生活饮用水为桶装水（全部饮用）。</w:t>
            </w:r>
          </w:p>
          <w:p>
            <w:pPr>
              <w:spacing w:line="360" w:lineRule="auto"/>
              <w:ind w:firstLine="480" w:firstLineChars="200"/>
              <w:rPr>
                <w:bCs/>
                <w:kern w:val="2"/>
                <w:sz w:val="24"/>
                <w:szCs w:val="24"/>
              </w:rPr>
            </w:pPr>
            <w:r>
              <w:rPr>
                <w:rFonts w:hint="eastAsia"/>
                <w:bCs/>
                <w:kern w:val="2"/>
                <w:sz w:val="24"/>
                <w:szCs w:val="24"/>
              </w:rPr>
              <w:t>所有车辆均在主城区垃圾转运站清洗。</w:t>
            </w:r>
          </w:p>
          <w:p>
            <w:pPr>
              <w:spacing w:line="360" w:lineRule="auto"/>
              <w:ind w:firstLine="480" w:firstLineChars="200"/>
              <w:rPr>
                <w:sz w:val="24"/>
                <w:szCs w:val="24"/>
              </w:rPr>
            </w:pPr>
            <w:r>
              <w:rPr>
                <w:rFonts w:hint="eastAsia"/>
                <w:sz w:val="24"/>
                <w:szCs w:val="24"/>
              </w:rPr>
              <w:t>垃圾转运站具体用水明细见表</w:t>
            </w:r>
            <w:r>
              <w:rPr>
                <w:sz w:val="24"/>
                <w:szCs w:val="24"/>
              </w:rPr>
              <w:t>7</w:t>
            </w:r>
            <w:r>
              <w:rPr>
                <w:rFonts w:hint="eastAsia"/>
                <w:sz w:val="24"/>
                <w:szCs w:val="24"/>
              </w:rPr>
              <w:t>及表</w:t>
            </w:r>
            <w:r>
              <w:rPr>
                <w:sz w:val="24"/>
                <w:szCs w:val="24"/>
              </w:rPr>
              <w:t>8</w:t>
            </w:r>
            <w:r>
              <w:rPr>
                <w:rFonts w:hint="eastAsia"/>
                <w:sz w:val="24"/>
                <w:szCs w:val="24"/>
              </w:rPr>
              <w:t xml:space="preserve">。 </w:t>
            </w:r>
          </w:p>
          <w:p>
            <w:pPr>
              <w:autoSpaceDE w:val="0"/>
              <w:autoSpaceDN w:val="0"/>
              <w:spacing w:line="360" w:lineRule="auto"/>
              <w:jc w:val="center"/>
              <w:textAlignment w:val="auto"/>
              <w:rPr>
                <w:sz w:val="24"/>
                <w:szCs w:val="24"/>
              </w:rPr>
            </w:pPr>
            <w:r>
              <w:rPr>
                <w:rFonts w:hint="eastAsia"/>
                <w:sz w:val="24"/>
                <w:szCs w:val="24"/>
              </w:rPr>
              <w:t>表</w:t>
            </w:r>
            <w:r>
              <w:rPr>
                <w:sz w:val="24"/>
                <w:szCs w:val="24"/>
              </w:rPr>
              <w:t xml:space="preserve">7 </w:t>
            </w:r>
            <w:r>
              <w:rPr>
                <w:rFonts w:hint="eastAsia"/>
                <w:sz w:val="24"/>
                <w:szCs w:val="24"/>
              </w:rPr>
              <w:t>主城区垃圾转运站</w:t>
            </w:r>
            <w:r>
              <w:rPr>
                <w:sz w:val="24"/>
                <w:szCs w:val="24"/>
              </w:rPr>
              <w:t>用水量和排水量表</w:t>
            </w:r>
          </w:p>
          <w:tbl>
            <w:tblPr>
              <w:tblStyle w:val="27"/>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539"/>
              <w:gridCol w:w="1723"/>
              <w:gridCol w:w="1299"/>
              <w:gridCol w:w="999"/>
              <w:gridCol w:w="1243"/>
              <w:gridCol w:w="1371"/>
              <w:gridCol w:w="153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0" w:type="auto"/>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rPr>
                  </w:pPr>
                  <w:r>
                    <w:rPr>
                      <w:szCs w:val="21"/>
                    </w:rPr>
                    <w:t>序号</w:t>
                  </w:r>
                </w:p>
              </w:tc>
              <w:tc>
                <w:tcPr>
                  <w:tcW w:w="172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rPr>
                  </w:pPr>
                  <w:r>
                    <w:rPr>
                      <w:szCs w:val="21"/>
                    </w:rPr>
                    <w:t>用水点</w:t>
                  </w:r>
                </w:p>
              </w:tc>
              <w:tc>
                <w:tcPr>
                  <w:tcW w:w="129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rPr>
                  </w:pPr>
                  <w:r>
                    <w:rPr>
                      <w:szCs w:val="21"/>
                    </w:rPr>
                    <w:t>用水标准</w:t>
                  </w:r>
                </w:p>
              </w:tc>
              <w:tc>
                <w:tcPr>
                  <w:tcW w:w="99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rPr>
                  </w:pPr>
                  <w:r>
                    <w:rPr>
                      <w:szCs w:val="21"/>
                    </w:rPr>
                    <w:t>用水户</w:t>
                  </w:r>
                </w:p>
              </w:tc>
              <w:tc>
                <w:tcPr>
                  <w:tcW w:w="124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rPr>
                  </w:pPr>
                  <w:r>
                    <w:rPr>
                      <w:szCs w:val="21"/>
                    </w:rPr>
                    <w:t>用水量（m</w:t>
                  </w:r>
                  <w:r>
                    <w:rPr>
                      <w:szCs w:val="21"/>
                      <w:vertAlign w:val="superscript"/>
                    </w:rPr>
                    <w:t>3</w:t>
                  </w:r>
                  <w:r>
                    <w:rPr>
                      <w:szCs w:val="21"/>
                    </w:rPr>
                    <w:t>/d）</w:t>
                  </w:r>
                </w:p>
              </w:tc>
              <w:tc>
                <w:tcPr>
                  <w:tcW w:w="0" w:type="auto"/>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rPr>
                  </w:pPr>
                  <w:r>
                    <w:rPr>
                      <w:szCs w:val="21"/>
                    </w:rPr>
                    <w:t>排水量（m</w:t>
                  </w:r>
                  <w:r>
                    <w:rPr>
                      <w:szCs w:val="21"/>
                      <w:vertAlign w:val="superscript"/>
                    </w:rPr>
                    <w:t>3</w:t>
                  </w:r>
                  <w:r>
                    <w:rPr>
                      <w:szCs w:val="21"/>
                    </w:rPr>
                    <w:t>/d）</w:t>
                  </w:r>
                </w:p>
              </w:tc>
              <w:tc>
                <w:tcPr>
                  <w:tcW w:w="0" w:type="auto"/>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rPr>
                  </w:pPr>
                  <w:r>
                    <w:rPr>
                      <w:szCs w:val="21"/>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0" w:type="auto"/>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rPr>
                  </w:pPr>
                  <w:r>
                    <w:rPr>
                      <w:rFonts w:hint="eastAsia"/>
                      <w:szCs w:val="21"/>
                    </w:rPr>
                    <w:t>1</w:t>
                  </w:r>
                </w:p>
              </w:tc>
              <w:tc>
                <w:tcPr>
                  <w:tcW w:w="172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rPr>
                  </w:pPr>
                  <w:r>
                    <w:rPr>
                      <w:rFonts w:hint="eastAsia"/>
                      <w:szCs w:val="21"/>
                    </w:rPr>
                    <w:t>汽车冲洗</w:t>
                  </w:r>
                </w:p>
              </w:tc>
              <w:tc>
                <w:tcPr>
                  <w:tcW w:w="129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rPr>
                  </w:pPr>
                  <w:r>
                    <w:rPr>
                      <w:rFonts w:hint="eastAsia"/>
                      <w:szCs w:val="21"/>
                    </w:rPr>
                    <w:t>120L/辆</w:t>
                  </w:r>
                  <w:r>
                    <w:rPr>
                      <w:szCs w:val="21"/>
                    </w:rPr>
                    <w:t>·</w:t>
                  </w:r>
                  <w:r>
                    <w:rPr>
                      <w:rFonts w:hint="eastAsia"/>
                      <w:szCs w:val="21"/>
                    </w:rPr>
                    <w:t>次</w:t>
                  </w:r>
                </w:p>
              </w:tc>
              <w:tc>
                <w:tcPr>
                  <w:tcW w:w="99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rPr>
                  </w:pPr>
                  <w:r>
                    <w:rPr>
                      <w:szCs w:val="21"/>
                    </w:rPr>
                    <w:t>7</w:t>
                  </w:r>
                  <w:r>
                    <w:rPr>
                      <w:rFonts w:hint="eastAsia"/>
                      <w:szCs w:val="21"/>
                    </w:rPr>
                    <w:t>辆</w:t>
                  </w:r>
                </w:p>
              </w:tc>
              <w:tc>
                <w:tcPr>
                  <w:tcW w:w="124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rPr>
                  </w:pPr>
                  <w:r>
                    <w:rPr>
                      <w:szCs w:val="21"/>
                    </w:rPr>
                    <w:t>0.84</w:t>
                  </w:r>
                </w:p>
              </w:tc>
              <w:tc>
                <w:tcPr>
                  <w:tcW w:w="0" w:type="auto"/>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rPr>
                  </w:pPr>
                  <w:r>
                    <w:rPr>
                      <w:szCs w:val="21"/>
                    </w:rPr>
                    <w:t>0.672</w:t>
                  </w:r>
                </w:p>
              </w:tc>
              <w:tc>
                <w:tcPr>
                  <w:tcW w:w="0" w:type="auto"/>
                  <w:vMerge w:val="restart"/>
                  <w:tcBorders>
                    <w:top w:val="single" w:color="auto" w:sz="4" w:space="0"/>
                    <w:left w:val="single" w:color="auto" w:sz="4" w:space="0"/>
                    <w:right w:val="single" w:color="auto" w:sz="4" w:space="0"/>
                  </w:tcBorders>
                  <w:vAlign w:val="center"/>
                </w:tcPr>
                <w:p>
                  <w:pPr>
                    <w:spacing w:line="240" w:lineRule="auto"/>
                    <w:jc w:val="center"/>
                    <w:rPr>
                      <w:szCs w:val="21"/>
                    </w:rPr>
                  </w:pPr>
                  <w:r>
                    <w:rPr>
                      <w:rFonts w:hint="eastAsia"/>
                      <w:szCs w:val="21"/>
                    </w:rPr>
                    <w:t>排放量按用水量8</w:t>
                  </w:r>
                  <w:r>
                    <w:rPr>
                      <w:szCs w:val="21"/>
                    </w:rPr>
                    <w:t>0</w:t>
                  </w:r>
                  <w:r>
                    <w:rPr>
                      <w:rFonts w:hint="eastAsia"/>
                      <w:szCs w:val="21"/>
                    </w:rPr>
                    <w:t>%计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0" w:type="auto"/>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rPr>
                  </w:pPr>
                  <w:r>
                    <w:rPr>
                      <w:szCs w:val="21"/>
                    </w:rPr>
                    <w:t>2</w:t>
                  </w:r>
                </w:p>
              </w:tc>
              <w:tc>
                <w:tcPr>
                  <w:tcW w:w="172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rPr>
                  </w:pPr>
                  <w:r>
                    <w:rPr>
                      <w:szCs w:val="21"/>
                    </w:rPr>
                    <w:t>办公用水</w:t>
                  </w:r>
                </w:p>
              </w:tc>
              <w:tc>
                <w:tcPr>
                  <w:tcW w:w="129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rPr>
                  </w:pPr>
                  <w:r>
                    <w:rPr>
                      <w:szCs w:val="21"/>
                    </w:rPr>
                    <w:t>30L/人·d</w:t>
                  </w:r>
                </w:p>
              </w:tc>
              <w:tc>
                <w:tcPr>
                  <w:tcW w:w="99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rPr>
                  </w:pPr>
                  <w:r>
                    <w:rPr>
                      <w:rFonts w:hint="eastAsia"/>
                      <w:szCs w:val="21"/>
                    </w:rPr>
                    <w:t>11</w:t>
                  </w:r>
                  <w:r>
                    <w:rPr>
                      <w:szCs w:val="21"/>
                    </w:rPr>
                    <w:t>人</w:t>
                  </w:r>
                </w:p>
              </w:tc>
              <w:tc>
                <w:tcPr>
                  <w:tcW w:w="124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rPr>
                  </w:pPr>
                  <w:r>
                    <w:rPr>
                      <w:rFonts w:hint="eastAsia"/>
                      <w:szCs w:val="21"/>
                    </w:rPr>
                    <w:t>0.33</w:t>
                  </w:r>
                </w:p>
              </w:tc>
              <w:tc>
                <w:tcPr>
                  <w:tcW w:w="0" w:type="auto"/>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rPr>
                  </w:pPr>
                  <w:r>
                    <w:rPr>
                      <w:rFonts w:hint="eastAsia"/>
                      <w:szCs w:val="21"/>
                    </w:rPr>
                    <w:t>0.2</w:t>
                  </w:r>
                  <w:r>
                    <w:rPr>
                      <w:szCs w:val="21"/>
                    </w:rPr>
                    <w:t>64</w:t>
                  </w:r>
                </w:p>
              </w:tc>
              <w:tc>
                <w:tcPr>
                  <w:tcW w:w="0" w:type="auto"/>
                  <w:vMerge w:val="continue"/>
                  <w:tcBorders>
                    <w:left w:val="single" w:color="auto" w:sz="4" w:space="0"/>
                    <w:right w:val="single" w:color="auto" w:sz="4" w:space="0"/>
                  </w:tcBorders>
                  <w:vAlign w:val="center"/>
                </w:tcPr>
                <w:p>
                  <w:pPr>
                    <w:spacing w:line="240" w:lineRule="auto"/>
                    <w:jc w:val="center"/>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rPr>
                  </w:pPr>
                  <w:r>
                    <w:rPr>
                      <w:szCs w:val="21"/>
                    </w:rPr>
                    <w:t>3</w:t>
                  </w:r>
                </w:p>
              </w:tc>
              <w:tc>
                <w:tcPr>
                  <w:tcW w:w="172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rPr>
                  </w:pPr>
                  <w:r>
                    <w:rPr>
                      <w:szCs w:val="21"/>
                    </w:rPr>
                    <w:t>淋浴餐厅</w:t>
                  </w:r>
                </w:p>
              </w:tc>
              <w:tc>
                <w:tcPr>
                  <w:tcW w:w="129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rPr>
                  </w:pPr>
                  <w:r>
                    <w:rPr>
                      <w:szCs w:val="21"/>
                    </w:rPr>
                    <w:t>60 L/人·次</w:t>
                  </w:r>
                </w:p>
              </w:tc>
              <w:tc>
                <w:tcPr>
                  <w:tcW w:w="99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rPr>
                  </w:pPr>
                  <w:r>
                    <w:rPr>
                      <w:rFonts w:hint="eastAsia"/>
                      <w:szCs w:val="21"/>
                    </w:rPr>
                    <w:t>11</w:t>
                  </w:r>
                  <w:r>
                    <w:rPr>
                      <w:szCs w:val="21"/>
                    </w:rPr>
                    <w:t>人</w:t>
                  </w:r>
                </w:p>
              </w:tc>
              <w:tc>
                <w:tcPr>
                  <w:tcW w:w="124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rPr>
                  </w:pPr>
                  <w:r>
                    <w:rPr>
                      <w:rFonts w:hint="eastAsia"/>
                      <w:szCs w:val="21"/>
                    </w:rPr>
                    <w:t>0.66</w:t>
                  </w:r>
                </w:p>
              </w:tc>
              <w:tc>
                <w:tcPr>
                  <w:tcW w:w="0" w:type="auto"/>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rPr>
                  </w:pPr>
                  <w:r>
                    <w:rPr>
                      <w:rFonts w:hint="eastAsia"/>
                      <w:szCs w:val="21"/>
                    </w:rPr>
                    <w:t>0.5</w:t>
                  </w:r>
                  <w:r>
                    <w:rPr>
                      <w:szCs w:val="21"/>
                    </w:rPr>
                    <w:t>28</w:t>
                  </w:r>
                </w:p>
              </w:tc>
              <w:tc>
                <w:tcPr>
                  <w:tcW w:w="0" w:type="auto"/>
                  <w:vMerge w:val="continue"/>
                  <w:tcBorders>
                    <w:left w:val="single" w:color="auto" w:sz="4" w:space="0"/>
                    <w:right w:val="single" w:color="auto" w:sz="4" w:space="0"/>
                  </w:tcBorders>
                  <w:vAlign w:val="center"/>
                </w:tcPr>
                <w:p>
                  <w:pPr>
                    <w:spacing w:line="240" w:lineRule="auto"/>
                    <w:jc w:val="center"/>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0" w:type="auto"/>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rPr>
                  </w:pPr>
                  <w:r>
                    <w:rPr>
                      <w:rFonts w:hint="eastAsia"/>
                      <w:szCs w:val="21"/>
                    </w:rPr>
                    <w:t>4</w:t>
                  </w:r>
                </w:p>
              </w:tc>
              <w:tc>
                <w:tcPr>
                  <w:tcW w:w="172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rPr>
                  </w:pPr>
                  <w:r>
                    <w:rPr>
                      <w:szCs w:val="21"/>
                    </w:rPr>
                    <w:t>冲洒</w:t>
                  </w:r>
                  <w:r>
                    <w:rPr>
                      <w:rFonts w:hint="eastAsia"/>
                      <w:szCs w:val="21"/>
                    </w:rPr>
                    <w:t>车间、</w:t>
                  </w:r>
                  <w:r>
                    <w:rPr>
                      <w:szCs w:val="21"/>
                    </w:rPr>
                    <w:t>道路</w:t>
                  </w:r>
                </w:p>
              </w:tc>
              <w:tc>
                <w:tcPr>
                  <w:tcW w:w="129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rPr>
                  </w:pPr>
                  <w:r>
                    <w:rPr>
                      <w:szCs w:val="21"/>
                    </w:rPr>
                    <w:t>0.4L</w:t>
                  </w:r>
                  <w:r>
                    <w:rPr>
                      <w:rFonts w:hint="eastAsia"/>
                      <w:szCs w:val="21"/>
                    </w:rPr>
                    <w:t>/</w:t>
                  </w:r>
                  <w:r>
                    <w:rPr>
                      <w:szCs w:val="21"/>
                    </w:rPr>
                    <w:t>m</w:t>
                  </w:r>
                  <w:r>
                    <w:rPr>
                      <w:szCs w:val="21"/>
                      <w:vertAlign w:val="superscript"/>
                    </w:rPr>
                    <w:t>2</w:t>
                  </w:r>
                  <w:r>
                    <w:rPr>
                      <w:szCs w:val="21"/>
                    </w:rPr>
                    <w:t>·次</w:t>
                  </w:r>
                </w:p>
              </w:tc>
              <w:tc>
                <w:tcPr>
                  <w:tcW w:w="99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rPr>
                  </w:pPr>
                  <w:r>
                    <w:rPr>
                      <w:rFonts w:hint="eastAsia"/>
                      <w:szCs w:val="21"/>
                    </w:rPr>
                    <w:t>4455m</w:t>
                  </w:r>
                  <w:r>
                    <w:rPr>
                      <w:szCs w:val="21"/>
                      <w:vertAlign w:val="superscript"/>
                    </w:rPr>
                    <w:t>2</w:t>
                  </w:r>
                </w:p>
              </w:tc>
              <w:tc>
                <w:tcPr>
                  <w:tcW w:w="124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rPr>
                  </w:pPr>
                  <w:r>
                    <w:rPr>
                      <w:rFonts w:hint="eastAsia"/>
                      <w:szCs w:val="21"/>
                    </w:rPr>
                    <w:t>1.78</w:t>
                  </w:r>
                </w:p>
              </w:tc>
              <w:tc>
                <w:tcPr>
                  <w:tcW w:w="0" w:type="auto"/>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rPr>
                  </w:pPr>
                  <w:r>
                    <w:rPr>
                      <w:szCs w:val="21"/>
                    </w:rPr>
                    <w:t>1.424</w:t>
                  </w:r>
                </w:p>
              </w:tc>
              <w:tc>
                <w:tcPr>
                  <w:tcW w:w="0" w:type="auto"/>
                  <w:vMerge w:val="continue"/>
                  <w:tcBorders>
                    <w:left w:val="single" w:color="auto" w:sz="4" w:space="0"/>
                    <w:right w:val="single" w:color="auto" w:sz="4" w:space="0"/>
                  </w:tcBorders>
                  <w:vAlign w:val="center"/>
                </w:tcPr>
                <w:p>
                  <w:pPr>
                    <w:spacing w:line="240" w:lineRule="auto"/>
                    <w:jc w:val="center"/>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0" w:type="auto"/>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rPr>
                  </w:pPr>
                  <w:r>
                    <w:rPr>
                      <w:szCs w:val="21"/>
                    </w:rPr>
                    <w:t>5</w:t>
                  </w:r>
                </w:p>
              </w:tc>
              <w:tc>
                <w:tcPr>
                  <w:tcW w:w="172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rPr>
                  </w:pPr>
                  <w:r>
                    <w:rPr>
                      <w:szCs w:val="21"/>
                    </w:rPr>
                    <w:t>绿化用水</w:t>
                  </w:r>
                </w:p>
              </w:tc>
              <w:tc>
                <w:tcPr>
                  <w:tcW w:w="129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rPr>
                  </w:pPr>
                  <w:r>
                    <w:rPr>
                      <w:szCs w:val="21"/>
                    </w:rPr>
                    <w:t>1.5L/m</w:t>
                  </w:r>
                  <w:r>
                    <w:rPr>
                      <w:szCs w:val="21"/>
                      <w:vertAlign w:val="superscript"/>
                    </w:rPr>
                    <w:t>2</w:t>
                  </w:r>
                  <w:r>
                    <w:rPr>
                      <w:szCs w:val="21"/>
                    </w:rPr>
                    <w:t>·次</w:t>
                  </w:r>
                </w:p>
              </w:tc>
              <w:tc>
                <w:tcPr>
                  <w:tcW w:w="99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rPr>
                  </w:pPr>
                  <w:r>
                    <w:rPr>
                      <w:rFonts w:hint="eastAsia"/>
                      <w:szCs w:val="21"/>
                    </w:rPr>
                    <w:t>600m</w:t>
                  </w:r>
                  <w:r>
                    <w:rPr>
                      <w:szCs w:val="21"/>
                      <w:vertAlign w:val="superscript"/>
                    </w:rPr>
                    <w:t>2</w:t>
                  </w:r>
                </w:p>
              </w:tc>
              <w:tc>
                <w:tcPr>
                  <w:tcW w:w="124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rPr>
                  </w:pPr>
                  <w:r>
                    <w:rPr>
                      <w:rFonts w:hint="eastAsia"/>
                      <w:szCs w:val="21"/>
                    </w:rPr>
                    <w:t>0.9</w:t>
                  </w:r>
                </w:p>
              </w:tc>
              <w:tc>
                <w:tcPr>
                  <w:tcW w:w="0" w:type="auto"/>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rPr>
                  </w:pPr>
                  <w:r>
                    <w:rPr>
                      <w:szCs w:val="21"/>
                    </w:rPr>
                    <w:t>0</w:t>
                  </w:r>
                </w:p>
              </w:tc>
              <w:tc>
                <w:tcPr>
                  <w:tcW w:w="0" w:type="auto"/>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rPr>
                  </w:pPr>
                  <w:r>
                    <w:rPr>
                      <w:rFonts w:hint="eastAsia"/>
                      <w:szCs w:val="21"/>
                    </w:rPr>
                    <w:t>全部消耗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0" w:type="auto"/>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rPr>
                  </w:pPr>
                </w:p>
              </w:tc>
              <w:tc>
                <w:tcPr>
                  <w:tcW w:w="172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rPr>
                  </w:pPr>
                  <w:r>
                    <w:rPr>
                      <w:szCs w:val="21"/>
                    </w:rPr>
                    <w:t>总计</w:t>
                  </w:r>
                </w:p>
              </w:tc>
              <w:tc>
                <w:tcPr>
                  <w:tcW w:w="129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rPr>
                  </w:pPr>
                </w:p>
              </w:tc>
              <w:tc>
                <w:tcPr>
                  <w:tcW w:w="99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rPr>
                  </w:pPr>
                </w:p>
              </w:tc>
              <w:tc>
                <w:tcPr>
                  <w:tcW w:w="124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rPr>
                  </w:pPr>
                  <w:r>
                    <w:rPr>
                      <w:szCs w:val="21"/>
                    </w:rPr>
                    <w:t>4.51</w:t>
                  </w:r>
                </w:p>
              </w:tc>
              <w:tc>
                <w:tcPr>
                  <w:tcW w:w="0" w:type="auto"/>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rPr>
                  </w:pPr>
                  <w:r>
                    <w:rPr>
                      <w:szCs w:val="21"/>
                    </w:rPr>
                    <w:t>2.888</w:t>
                  </w:r>
                </w:p>
              </w:tc>
              <w:tc>
                <w:tcPr>
                  <w:tcW w:w="0" w:type="auto"/>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rPr>
                  </w:pPr>
                </w:p>
              </w:tc>
            </w:tr>
          </w:tbl>
          <w:p>
            <w:pPr>
              <w:autoSpaceDE w:val="0"/>
              <w:autoSpaceDN w:val="0"/>
              <w:spacing w:line="360" w:lineRule="auto"/>
              <w:jc w:val="center"/>
              <w:textAlignment w:val="auto"/>
              <w:rPr>
                <w:sz w:val="24"/>
                <w:szCs w:val="24"/>
              </w:rPr>
            </w:pPr>
            <w:r>
              <w:rPr>
                <w:rFonts w:hint="eastAsia"/>
                <w:sz w:val="24"/>
                <w:szCs w:val="24"/>
              </w:rPr>
              <w:t>表</w:t>
            </w:r>
            <w:r>
              <w:rPr>
                <w:sz w:val="24"/>
                <w:szCs w:val="24"/>
              </w:rPr>
              <w:t xml:space="preserve">8 </w:t>
            </w:r>
            <w:r>
              <w:rPr>
                <w:rFonts w:hint="eastAsia"/>
                <w:sz w:val="24"/>
                <w:szCs w:val="24"/>
              </w:rPr>
              <w:t>寿王坟镇垃圾转运站</w:t>
            </w:r>
            <w:r>
              <w:rPr>
                <w:sz w:val="24"/>
                <w:szCs w:val="24"/>
              </w:rPr>
              <w:t>用水量和排水量表</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0"/>
              <w:gridCol w:w="1741"/>
              <w:gridCol w:w="1741"/>
              <w:gridCol w:w="1744"/>
              <w:gridCol w:w="1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Align w:val="center"/>
                </w:tcPr>
                <w:p>
                  <w:pPr>
                    <w:spacing w:line="240" w:lineRule="auto"/>
                    <w:jc w:val="center"/>
                    <w:rPr>
                      <w:bCs/>
                      <w:kern w:val="2"/>
                      <w:szCs w:val="21"/>
                    </w:rPr>
                  </w:pPr>
                  <w:r>
                    <w:rPr>
                      <w:szCs w:val="21"/>
                    </w:rPr>
                    <w:t>用水点</w:t>
                  </w:r>
                </w:p>
              </w:tc>
              <w:tc>
                <w:tcPr>
                  <w:tcW w:w="999" w:type="pct"/>
                  <w:vAlign w:val="center"/>
                </w:tcPr>
                <w:p>
                  <w:pPr>
                    <w:spacing w:line="240" w:lineRule="auto"/>
                    <w:jc w:val="center"/>
                    <w:rPr>
                      <w:bCs/>
                      <w:kern w:val="2"/>
                      <w:szCs w:val="21"/>
                    </w:rPr>
                  </w:pPr>
                  <w:r>
                    <w:rPr>
                      <w:szCs w:val="21"/>
                    </w:rPr>
                    <w:t>用水户</w:t>
                  </w:r>
                </w:p>
              </w:tc>
              <w:tc>
                <w:tcPr>
                  <w:tcW w:w="999" w:type="pct"/>
                  <w:vAlign w:val="center"/>
                </w:tcPr>
                <w:p>
                  <w:pPr>
                    <w:spacing w:line="240" w:lineRule="auto"/>
                    <w:jc w:val="center"/>
                    <w:rPr>
                      <w:bCs/>
                      <w:kern w:val="2"/>
                      <w:szCs w:val="21"/>
                    </w:rPr>
                  </w:pPr>
                  <w:r>
                    <w:rPr>
                      <w:szCs w:val="21"/>
                    </w:rPr>
                    <w:t>用水量（m</w:t>
                  </w:r>
                  <w:r>
                    <w:rPr>
                      <w:szCs w:val="21"/>
                      <w:vertAlign w:val="superscript"/>
                    </w:rPr>
                    <w:t>3</w:t>
                  </w:r>
                  <w:r>
                    <w:rPr>
                      <w:szCs w:val="21"/>
                    </w:rPr>
                    <w:t>/d）</w:t>
                  </w:r>
                </w:p>
              </w:tc>
              <w:tc>
                <w:tcPr>
                  <w:tcW w:w="1001" w:type="pct"/>
                  <w:vAlign w:val="center"/>
                </w:tcPr>
                <w:p>
                  <w:pPr>
                    <w:spacing w:line="240" w:lineRule="auto"/>
                    <w:jc w:val="center"/>
                    <w:rPr>
                      <w:bCs/>
                      <w:kern w:val="2"/>
                      <w:szCs w:val="21"/>
                    </w:rPr>
                  </w:pPr>
                  <w:r>
                    <w:rPr>
                      <w:szCs w:val="21"/>
                    </w:rPr>
                    <w:t>排水量（m</w:t>
                  </w:r>
                  <w:r>
                    <w:rPr>
                      <w:szCs w:val="21"/>
                      <w:vertAlign w:val="superscript"/>
                    </w:rPr>
                    <w:t>3</w:t>
                  </w:r>
                  <w:r>
                    <w:rPr>
                      <w:szCs w:val="21"/>
                    </w:rPr>
                    <w:t>/d）</w:t>
                  </w:r>
                </w:p>
              </w:tc>
              <w:tc>
                <w:tcPr>
                  <w:tcW w:w="1001" w:type="pct"/>
                  <w:vAlign w:val="center"/>
                </w:tcPr>
                <w:p>
                  <w:pPr>
                    <w:spacing w:line="240" w:lineRule="auto"/>
                    <w:jc w:val="center"/>
                    <w:rPr>
                      <w:bCs/>
                      <w:kern w:val="2"/>
                      <w:szCs w:val="21"/>
                    </w:rPr>
                  </w:pPr>
                  <w:r>
                    <w:rPr>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Align w:val="center"/>
                </w:tcPr>
                <w:p>
                  <w:pPr>
                    <w:spacing w:line="240" w:lineRule="auto"/>
                    <w:jc w:val="center"/>
                    <w:rPr>
                      <w:bCs/>
                      <w:kern w:val="2"/>
                      <w:szCs w:val="21"/>
                    </w:rPr>
                  </w:pPr>
                  <w:r>
                    <w:rPr>
                      <w:rFonts w:hint="eastAsia"/>
                      <w:bCs/>
                      <w:kern w:val="2"/>
                      <w:szCs w:val="21"/>
                    </w:rPr>
                    <w:t>车间清洗</w:t>
                  </w:r>
                </w:p>
              </w:tc>
              <w:tc>
                <w:tcPr>
                  <w:tcW w:w="999" w:type="pct"/>
                  <w:vAlign w:val="center"/>
                </w:tcPr>
                <w:p>
                  <w:pPr>
                    <w:spacing w:line="240" w:lineRule="auto"/>
                    <w:jc w:val="center"/>
                    <w:rPr>
                      <w:bCs/>
                      <w:kern w:val="2"/>
                      <w:szCs w:val="21"/>
                    </w:rPr>
                  </w:pPr>
                  <w:r>
                    <w:rPr>
                      <w:rFonts w:hint="eastAsia"/>
                      <w:bCs/>
                      <w:kern w:val="2"/>
                      <w:szCs w:val="21"/>
                    </w:rPr>
                    <w:t>压缩车间</w:t>
                  </w:r>
                </w:p>
              </w:tc>
              <w:tc>
                <w:tcPr>
                  <w:tcW w:w="999" w:type="pct"/>
                  <w:vAlign w:val="center"/>
                </w:tcPr>
                <w:p>
                  <w:pPr>
                    <w:spacing w:line="240" w:lineRule="auto"/>
                    <w:jc w:val="center"/>
                    <w:rPr>
                      <w:bCs/>
                      <w:kern w:val="2"/>
                      <w:szCs w:val="21"/>
                    </w:rPr>
                  </w:pPr>
                  <w:r>
                    <w:rPr>
                      <w:rFonts w:hint="eastAsia"/>
                      <w:bCs/>
                      <w:kern w:val="2"/>
                      <w:szCs w:val="21"/>
                    </w:rPr>
                    <w:t>1</w:t>
                  </w:r>
                </w:p>
              </w:tc>
              <w:tc>
                <w:tcPr>
                  <w:tcW w:w="1001" w:type="pct"/>
                  <w:vAlign w:val="center"/>
                </w:tcPr>
                <w:p>
                  <w:pPr>
                    <w:spacing w:line="240" w:lineRule="auto"/>
                    <w:jc w:val="center"/>
                    <w:rPr>
                      <w:bCs/>
                      <w:kern w:val="2"/>
                      <w:szCs w:val="21"/>
                    </w:rPr>
                  </w:pPr>
                  <w:r>
                    <w:rPr>
                      <w:rFonts w:hint="eastAsia"/>
                      <w:bCs/>
                      <w:kern w:val="2"/>
                      <w:szCs w:val="21"/>
                    </w:rPr>
                    <w:t>0</w:t>
                  </w:r>
                  <w:r>
                    <w:rPr>
                      <w:bCs/>
                      <w:kern w:val="2"/>
                      <w:szCs w:val="21"/>
                    </w:rPr>
                    <w:t>.8</w:t>
                  </w:r>
                </w:p>
              </w:tc>
              <w:tc>
                <w:tcPr>
                  <w:tcW w:w="1001" w:type="pct"/>
                  <w:vAlign w:val="center"/>
                </w:tcPr>
                <w:p>
                  <w:pPr>
                    <w:spacing w:line="240" w:lineRule="auto"/>
                    <w:jc w:val="center"/>
                    <w:rPr>
                      <w:bCs/>
                      <w:kern w:val="2"/>
                      <w:szCs w:val="21"/>
                    </w:rPr>
                  </w:pPr>
                  <w:r>
                    <w:rPr>
                      <w:rFonts w:hint="eastAsia"/>
                      <w:szCs w:val="21"/>
                    </w:rPr>
                    <w:t>排放量按用水量8</w:t>
                  </w:r>
                  <w:r>
                    <w:rPr>
                      <w:szCs w:val="21"/>
                    </w:rPr>
                    <w:t>0</w:t>
                  </w:r>
                  <w:r>
                    <w:rPr>
                      <w:rFonts w:hint="eastAsia"/>
                      <w:szCs w:val="21"/>
                    </w:rPr>
                    <w:t>%计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Align w:val="center"/>
                </w:tcPr>
                <w:p>
                  <w:pPr>
                    <w:spacing w:line="240" w:lineRule="auto"/>
                    <w:jc w:val="center"/>
                    <w:rPr>
                      <w:bCs/>
                      <w:kern w:val="2"/>
                      <w:szCs w:val="21"/>
                    </w:rPr>
                  </w:pPr>
                  <w:r>
                    <w:rPr>
                      <w:rFonts w:hint="eastAsia"/>
                      <w:bCs/>
                      <w:kern w:val="2"/>
                      <w:szCs w:val="21"/>
                    </w:rPr>
                    <w:t>总计</w:t>
                  </w:r>
                </w:p>
              </w:tc>
              <w:tc>
                <w:tcPr>
                  <w:tcW w:w="999" w:type="pct"/>
                  <w:vAlign w:val="center"/>
                </w:tcPr>
                <w:p>
                  <w:pPr>
                    <w:spacing w:line="240" w:lineRule="auto"/>
                    <w:jc w:val="center"/>
                    <w:rPr>
                      <w:bCs/>
                      <w:kern w:val="2"/>
                      <w:szCs w:val="21"/>
                    </w:rPr>
                  </w:pPr>
                </w:p>
              </w:tc>
              <w:tc>
                <w:tcPr>
                  <w:tcW w:w="999" w:type="pct"/>
                  <w:vAlign w:val="center"/>
                </w:tcPr>
                <w:p>
                  <w:pPr>
                    <w:spacing w:line="240" w:lineRule="auto"/>
                    <w:jc w:val="center"/>
                    <w:rPr>
                      <w:bCs/>
                      <w:kern w:val="2"/>
                      <w:szCs w:val="21"/>
                    </w:rPr>
                  </w:pPr>
                  <w:r>
                    <w:rPr>
                      <w:rFonts w:hint="eastAsia"/>
                      <w:bCs/>
                      <w:kern w:val="2"/>
                      <w:szCs w:val="21"/>
                    </w:rPr>
                    <w:t>1</w:t>
                  </w:r>
                </w:p>
              </w:tc>
              <w:tc>
                <w:tcPr>
                  <w:tcW w:w="1001" w:type="pct"/>
                  <w:vAlign w:val="center"/>
                </w:tcPr>
                <w:p>
                  <w:pPr>
                    <w:spacing w:line="240" w:lineRule="auto"/>
                    <w:jc w:val="center"/>
                    <w:rPr>
                      <w:bCs/>
                      <w:kern w:val="2"/>
                      <w:szCs w:val="21"/>
                    </w:rPr>
                  </w:pPr>
                  <w:r>
                    <w:rPr>
                      <w:rFonts w:hint="eastAsia"/>
                      <w:bCs/>
                      <w:kern w:val="2"/>
                      <w:szCs w:val="21"/>
                    </w:rPr>
                    <w:t>0</w:t>
                  </w:r>
                  <w:r>
                    <w:rPr>
                      <w:bCs/>
                      <w:kern w:val="2"/>
                      <w:szCs w:val="21"/>
                    </w:rPr>
                    <w:t>.8</w:t>
                  </w:r>
                </w:p>
              </w:tc>
              <w:tc>
                <w:tcPr>
                  <w:tcW w:w="1001" w:type="pct"/>
                  <w:vAlign w:val="center"/>
                </w:tcPr>
                <w:p>
                  <w:pPr>
                    <w:spacing w:line="240" w:lineRule="auto"/>
                    <w:jc w:val="center"/>
                    <w:rPr>
                      <w:bCs/>
                      <w:kern w:val="2"/>
                      <w:szCs w:val="21"/>
                    </w:rPr>
                  </w:pPr>
                </w:p>
              </w:tc>
            </w:tr>
          </w:tbl>
          <w:p>
            <w:pPr>
              <w:spacing w:line="360" w:lineRule="auto"/>
              <w:ind w:firstLine="480" w:firstLineChars="200"/>
              <w:rPr>
                <w:bCs/>
                <w:kern w:val="2"/>
                <w:sz w:val="24"/>
                <w:szCs w:val="24"/>
              </w:rPr>
            </w:pPr>
            <w:r>
              <w:rPr>
                <w:rFonts w:ascii="Cambria Math" w:hAnsi="Cambria Math" w:cs="Cambria Math"/>
                <w:bCs/>
                <w:kern w:val="2"/>
                <w:sz w:val="24"/>
                <w:szCs w:val="24"/>
              </w:rPr>
              <w:t>②</w:t>
            </w:r>
            <w:r>
              <w:rPr>
                <w:rFonts w:hint="eastAsia"/>
                <w:bCs/>
                <w:kern w:val="2"/>
                <w:sz w:val="24"/>
                <w:szCs w:val="24"/>
              </w:rPr>
              <w:t>排</w:t>
            </w:r>
            <w:r>
              <w:rPr>
                <w:bCs/>
                <w:kern w:val="2"/>
                <w:sz w:val="24"/>
                <w:szCs w:val="24"/>
              </w:rPr>
              <w:t>水</w:t>
            </w:r>
            <w:r>
              <w:rPr>
                <w:rFonts w:hint="eastAsia"/>
                <w:bCs/>
                <w:kern w:val="2"/>
                <w:sz w:val="24"/>
                <w:szCs w:val="24"/>
              </w:rPr>
              <w:t>工程</w:t>
            </w:r>
          </w:p>
          <w:p>
            <w:pPr>
              <w:autoSpaceDE w:val="0"/>
              <w:autoSpaceDN w:val="0"/>
              <w:spacing w:line="360" w:lineRule="auto"/>
              <w:ind w:firstLine="480" w:firstLineChars="200"/>
              <w:jc w:val="left"/>
              <w:textAlignment w:val="auto"/>
              <w:rPr>
                <w:sz w:val="24"/>
                <w:szCs w:val="24"/>
              </w:rPr>
            </w:pPr>
            <w:r>
              <w:rPr>
                <w:sz w:val="24"/>
                <w:szCs w:val="24"/>
              </w:rPr>
              <w:t>本项目</w:t>
            </w:r>
            <w:r>
              <w:rPr>
                <w:rFonts w:hint="eastAsia"/>
                <w:sz w:val="24"/>
                <w:szCs w:val="24"/>
              </w:rPr>
              <w:t>产生的主要排放污水为生活污水、冲洗废水。</w:t>
            </w:r>
          </w:p>
          <w:p>
            <w:pPr>
              <w:autoSpaceDE w:val="0"/>
              <w:autoSpaceDN w:val="0"/>
              <w:spacing w:line="360" w:lineRule="auto"/>
              <w:ind w:firstLine="480" w:firstLineChars="200"/>
              <w:jc w:val="left"/>
              <w:textAlignment w:val="auto"/>
              <w:rPr>
                <w:sz w:val="24"/>
                <w:szCs w:val="24"/>
              </w:rPr>
            </w:pPr>
            <w:r>
              <w:rPr>
                <w:rFonts w:hint="eastAsia"/>
                <w:sz w:val="24"/>
                <w:szCs w:val="24"/>
              </w:rPr>
              <w:t>生活污水主要为主城区员工生活产生污水，冲洗废水主要为车间清洗废水、车辆清洗废水。</w:t>
            </w:r>
          </w:p>
          <w:p>
            <w:pPr>
              <w:autoSpaceDE w:val="0"/>
              <w:autoSpaceDN w:val="0"/>
              <w:spacing w:line="360" w:lineRule="auto"/>
              <w:ind w:firstLine="480" w:firstLineChars="200"/>
              <w:jc w:val="left"/>
              <w:textAlignment w:val="auto"/>
              <w:rPr>
                <w:sz w:val="24"/>
                <w:szCs w:val="24"/>
              </w:rPr>
            </w:pPr>
            <w:r>
              <w:rPr>
                <w:rFonts w:hint="eastAsia"/>
                <w:sz w:val="24"/>
                <w:szCs w:val="24"/>
              </w:rPr>
              <w:t>主城区生产排放污水包括：员工生活产生污水、车间清洗废水、车辆清洗废水</w:t>
            </w:r>
          </w:p>
          <w:p>
            <w:pPr>
              <w:autoSpaceDE w:val="0"/>
              <w:autoSpaceDN w:val="0"/>
              <w:spacing w:line="360" w:lineRule="auto"/>
              <w:ind w:firstLine="480" w:firstLineChars="200"/>
              <w:jc w:val="left"/>
              <w:textAlignment w:val="auto"/>
              <w:rPr>
                <w:sz w:val="24"/>
                <w:szCs w:val="24"/>
              </w:rPr>
            </w:pPr>
            <w:r>
              <w:rPr>
                <w:rFonts w:hint="eastAsia"/>
                <w:sz w:val="24"/>
                <w:szCs w:val="24"/>
              </w:rPr>
              <w:t>寿王坟排放污水包括：车间清洗用水。</w:t>
            </w:r>
          </w:p>
          <w:p>
            <w:pPr>
              <w:autoSpaceDE w:val="0"/>
              <w:autoSpaceDN w:val="0"/>
              <w:spacing w:line="360" w:lineRule="auto"/>
              <w:ind w:firstLine="480" w:firstLineChars="200"/>
              <w:jc w:val="left"/>
              <w:textAlignment w:val="auto"/>
              <w:rPr>
                <w:sz w:val="24"/>
                <w:szCs w:val="24"/>
              </w:rPr>
            </w:pPr>
            <w:r>
              <w:rPr>
                <w:rFonts w:hint="eastAsia"/>
                <w:sz w:val="24"/>
                <w:szCs w:val="24"/>
              </w:rPr>
              <w:t>排放污水收集至废水池，定时再用专用运输车运去鹰手营子矿区垃圾填埋场渗滤液处理站统一进行处理。</w:t>
            </w:r>
          </w:p>
          <w:p>
            <w:pPr>
              <w:autoSpaceDE w:val="0"/>
              <w:autoSpaceDN w:val="0"/>
              <w:spacing w:line="360" w:lineRule="auto"/>
              <w:ind w:firstLine="480" w:firstLineChars="200"/>
              <w:jc w:val="left"/>
              <w:textAlignment w:val="auto"/>
              <w:rPr>
                <w:sz w:val="24"/>
                <w:szCs w:val="24"/>
              </w:rPr>
            </w:pPr>
            <w:r>
              <w:rPr>
                <w:rFonts w:hint="eastAsia"/>
                <w:sz w:val="24"/>
                <w:szCs w:val="24"/>
              </w:rPr>
              <w:t>厂区的雨水排放均采用排水明渠将雨水排入厂区排水渠泄走。</w:t>
            </w:r>
          </w:p>
          <w:p>
            <w:pPr>
              <w:adjustRightInd/>
              <w:spacing w:line="360" w:lineRule="auto"/>
              <w:ind w:firstLine="480" w:firstLineChars="200"/>
              <w:textAlignment w:val="auto"/>
              <w:rPr>
                <w:sz w:val="24"/>
                <w:szCs w:val="24"/>
              </w:rPr>
            </w:pPr>
            <w:r>
              <w:rPr>
                <w:rFonts w:hint="eastAsia"/>
                <w:sz w:val="24"/>
                <w:szCs w:val="24"/>
              </w:rPr>
              <w:t>水</w:t>
            </w:r>
            <w:r>
              <w:rPr>
                <w:sz w:val="24"/>
                <w:szCs w:val="24"/>
              </w:rPr>
              <w:t>量平</w:t>
            </w:r>
            <w:r>
              <w:rPr>
                <w:rFonts w:hint="eastAsia"/>
                <w:sz w:val="24"/>
                <w:szCs w:val="24"/>
              </w:rPr>
              <w:t>衡</w:t>
            </w:r>
            <w:r>
              <w:rPr>
                <w:sz w:val="24"/>
                <w:szCs w:val="24"/>
              </w:rPr>
              <w:t>：</w:t>
            </w:r>
          </w:p>
          <w:p>
            <w:pPr>
              <w:adjustRightInd/>
              <w:spacing w:line="360" w:lineRule="auto"/>
              <w:jc w:val="center"/>
              <w:textAlignment w:val="auto"/>
              <w:rPr>
                <w:sz w:val="24"/>
                <w:szCs w:val="24"/>
              </w:rPr>
            </w:pPr>
            <w:r>
              <w:object>
                <v:shape id="_x0000_i1025" o:spt="75" type="#_x0000_t75" style="height:269pt;width:324.95pt;" o:ole="t" filled="f" o:preferrelative="t" stroked="f" coordsize="21600,21600">
                  <v:path/>
                  <v:fill on="f" focussize="0,0"/>
                  <v:stroke on="f" joinstyle="miter"/>
                  <v:imagedata r:id="rId17" o:title=""/>
                  <o:lock v:ext="edit" aspectratio="t"/>
                  <w10:wrap type="none"/>
                  <w10:anchorlock/>
                </v:shape>
                <o:OLEObject Type="Embed" ProgID="Visio.Drawing.15" ShapeID="_x0000_i1025" DrawAspect="Content" ObjectID="_1468075725" r:id="rId16">
                  <o:LockedField>false</o:LockedField>
                </o:OLEObject>
              </w:object>
            </w:r>
          </w:p>
          <w:p>
            <w:pPr>
              <w:spacing w:line="360" w:lineRule="auto"/>
              <w:jc w:val="center"/>
              <w:rPr>
                <w:sz w:val="24"/>
                <w:szCs w:val="24"/>
              </w:rPr>
            </w:pPr>
            <w:r>
              <w:rPr>
                <w:rFonts w:hint="eastAsia"/>
                <w:sz w:val="24"/>
                <w:szCs w:val="24"/>
              </w:rPr>
              <w:t>图</w:t>
            </w:r>
            <w:r>
              <w:rPr>
                <w:sz w:val="24"/>
                <w:szCs w:val="24"/>
              </w:rPr>
              <w:t>3</w:t>
            </w:r>
            <w:r>
              <w:rPr>
                <w:rFonts w:hint="eastAsia"/>
                <w:sz w:val="24"/>
                <w:szCs w:val="24"/>
              </w:rPr>
              <w:t>垃圾转运站水量</w:t>
            </w:r>
            <w:r>
              <w:rPr>
                <w:sz w:val="24"/>
                <w:szCs w:val="24"/>
              </w:rPr>
              <w:t>平衡图</w:t>
            </w:r>
            <w:r>
              <w:rPr>
                <w:rFonts w:hint="eastAsia"/>
                <w:sz w:val="24"/>
                <w:szCs w:val="24"/>
              </w:rPr>
              <w:t xml:space="preserve"> </w:t>
            </w:r>
            <w:r>
              <w:rPr>
                <w:sz w:val="24"/>
                <w:szCs w:val="24"/>
              </w:rPr>
              <w:t xml:space="preserve"> </w:t>
            </w:r>
            <w:r>
              <w:rPr>
                <w:rFonts w:hint="eastAsia"/>
                <w:sz w:val="24"/>
                <w:szCs w:val="24"/>
              </w:rPr>
              <w:t>单位</w:t>
            </w:r>
            <w:r>
              <w:rPr>
                <w:sz w:val="24"/>
                <w:szCs w:val="24"/>
              </w:rPr>
              <w:t>：m</w:t>
            </w:r>
            <w:r>
              <w:rPr>
                <w:sz w:val="24"/>
                <w:szCs w:val="24"/>
                <w:vertAlign w:val="superscript"/>
              </w:rPr>
              <w:t>3</w:t>
            </w:r>
            <w:r>
              <w:rPr>
                <w:sz w:val="24"/>
                <w:szCs w:val="24"/>
              </w:rPr>
              <w:t>/d</w:t>
            </w:r>
          </w:p>
          <w:p>
            <w:pPr>
              <w:adjustRightInd/>
              <w:spacing w:line="360" w:lineRule="auto"/>
              <w:ind w:firstLine="480" w:firstLineChars="200"/>
              <w:textAlignment w:val="auto"/>
              <w:rPr>
                <w:sz w:val="24"/>
                <w:szCs w:val="24"/>
              </w:rPr>
            </w:pPr>
            <w:r>
              <w:rPr>
                <w:sz w:val="24"/>
                <w:szCs w:val="24"/>
              </w:rPr>
              <w:t>（2）</w:t>
            </w:r>
            <w:r>
              <w:rPr>
                <w:rFonts w:hint="eastAsia"/>
                <w:sz w:val="24"/>
                <w:szCs w:val="24"/>
              </w:rPr>
              <w:t>电气工程</w:t>
            </w:r>
          </w:p>
          <w:p>
            <w:pPr>
              <w:keepNext/>
              <w:keepLines/>
              <w:spacing w:line="360" w:lineRule="auto"/>
              <w:ind w:firstLine="480" w:firstLineChars="200"/>
              <w:rPr>
                <w:rFonts w:cs="宋体"/>
                <w:sz w:val="24"/>
                <w:szCs w:val="24"/>
              </w:rPr>
            </w:pPr>
            <w:r>
              <w:rPr>
                <w:rFonts w:hint="eastAsia" w:cs="宋体"/>
                <w:sz w:val="24"/>
                <w:szCs w:val="24"/>
              </w:rPr>
              <w:t>本项目拟建设的两座垃圾转运站均属于小型转运站。均由生活垃圾收集站供电，其电源电压均为380/220V，主城区生活垃圾转运站年耗电量约：29.85×10</w:t>
            </w:r>
            <w:r>
              <w:rPr>
                <w:rFonts w:hint="eastAsia" w:cs="宋体"/>
                <w:sz w:val="24"/>
                <w:szCs w:val="24"/>
                <w:vertAlign w:val="superscript"/>
              </w:rPr>
              <w:t>5</w:t>
            </w:r>
            <w:r>
              <w:rPr>
                <w:rFonts w:hint="eastAsia" w:cs="宋体"/>
                <w:sz w:val="24"/>
                <w:szCs w:val="24"/>
              </w:rPr>
              <w:t>kW</w:t>
            </w:r>
            <w:r>
              <w:rPr>
                <w:sz w:val="24"/>
                <w:szCs w:val="24"/>
              </w:rPr>
              <w:t>·</w:t>
            </w:r>
            <w:r>
              <w:rPr>
                <w:rFonts w:hint="eastAsia" w:cs="宋体"/>
                <w:sz w:val="24"/>
                <w:szCs w:val="24"/>
              </w:rPr>
              <w:t>h，寿王坟镇生活垃圾转运站年耗电量约：3.285×10</w:t>
            </w:r>
            <w:r>
              <w:rPr>
                <w:rFonts w:hint="eastAsia" w:cs="宋体"/>
                <w:sz w:val="24"/>
                <w:szCs w:val="24"/>
                <w:vertAlign w:val="superscript"/>
              </w:rPr>
              <w:t>5</w:t>
            </w:r>
            <w:r>
              <w:rPr>
                <w:rFonts w:hint="eastAsia" w:cs="宋体"/>
                <w:sz w:val="24"/>
                <w:szCs w:val="24"/>
              </w:rPr>
              <w:t>kw</w:t>
            </w:r>
            <w:r>
              <w:rPr>
                <w:sz w:val="24"/>
                <w:szCs w:val="24"/>
              </w:rPr>
              <w:t>·</w:t>
            </w:r>
            <w:r>
              <w:rPr>
                <w:rFonts w:hint="eastAsia" w:cs="宋体"/>
                <w:sz w:val="24"/>
                <w:szCs w:val="24"/>
              </w:rPr>
              <w:t>h。</w:t>
            </w:r>
          </w:p>
          <w:p>
            <w:pPr>
              <w:spacing w:line="360" w:lineRule="auto"/>
              <w:ind w:firstLine="480" w:firstLineChars="200"/>
              <w:rPr>
                <w:bCs/>
                <w:kern w:val="2"/>
                <w:sz w:val="24"/>
                <w:szCs w:val="24"/>
              </w:rPr>
            </w:pPr>
            <w:r>
              <w:rPr>
                <w:bCs/>
                <w:kern w:val="2"/>
                <w:sz w:val="24"/>
                <w:szCs w:val="24"/>
              </w:rPr>
              <w:t>（3）</w:t>
            </w:r>
            <w:r>
              <w:rPr>
                <w:rFonts w:hint="eastAsia"/>
                <w:bCs/>
                <w:kern w:val="2"/>
                <w:sz w:val="24"/>
                <w:szCs w:val="24"/>
              </w:rPr>
              <w:t>采暖通风工程</w:t>
            </w:r>
          </w:p>
          <w:p>
            <w:pPr>
              <w:spacing w:line="360" w:lineRule="auto"/>
              <w:ind w:firstLine="480" w:firstLineChars="200"/>
              <w:rPr>
                <w:sz w:val="24"/>
                <w:szCs w:val="24"/>
              </w:rPr>
            </w:pPr>
            <w:r>
              <w:rPr>
                <w:rFonts w:hint="eastAsia"/>
                <w:sz w:val="24"/>
                <w:szCs w:val="24"/>
              </w:rPr>
              <w:t>主城区垃圾转运站</w:t>
            </w:r>
            <w:r>
              <w:rPr>
                <w:rFonts w:hint="eastAsia"/>
                <w:sz w:val="24"/>
                <w:szCs w:val="24"/>
                <w:lang w:val="en-GB"/>
              </w:rPr>
              <w:t>处在北方地区，冬天需要采暖，</w:t>
            </w:r>
            <w:r>
              <w:rPr>
                <w:rFonts w:hint="eastAsia"/>
                <w:sz w:val="24"/>
                <w:szCs w:val="24"/>
              </w:rPr>
              <w:t>在压缩车间控制室、办公用房、计量间、门卫设空调器，总功率15kw。垃圾中转站</w:t>
            </w:r>
            <w:r>
              <w:rPr>
                <w:sz w:val="24"/>
                <w:szCs w:val="24"/>
              </w:rPr>
              <w:t>主要房间通风换气量</w:t>
            </w:r>
            <w:r>
              <w:rPr>
                <w:rFonts w:hint="eastAsia"/>
                <w:sz w:val="24"/>
                <w:szCs w:val="24"/>
              </w:rPr>
              <w:t>。</w:t>
            </w:r>
            <w:r>
              <w:rPr>
                <w:sz w:val="24"/>
                <w:szCs w:val="24"/>
              </w:rPr>
              <w:t>通风系统中所有风机均采用低噪声设备，风机进出口与风管之间采用柔性软连接。</w:t>
            </w:r>
          </w:p>
          <w:p>
            <w:pPr>
              <w:pStyle w:val="25"/>
              <w:spacing w:after="0" w:line="360" w:lineRule="auto"/>
              <w:ind w:firstLine="480" w:firstLineChars="200"/>
              <w:rPr>
                <w:rFonts w:cs="宋体"/>
                <w:sz w:val="24"/>
                <w:szCs w:val="24"/>
              </w:rPr>
            </w:pPr>
            <w:r>
              <w:rPr>
                <w:rFonts w:hint="eastAsia" w:cs="宋体"/>
                <w:sz w:val="24"/>
                <w:szCs w:val="24"/>
              </w:rPr>
              <w:t>寿王坟镇垃圾转运站采暖通风方式同上，采暖功率为2kw。</w:t>
            </w:r>
          </w:p>
          <w:p>
            <w:pPr>
              <w:spacing w:line="360" w:lineRule="auto"/>
              <w:ind w:firstLine="470" w:firstLineChars="196"/>
              <w:rPr>
                <w:sz w:val="24"/>
                <w:szCs w:val="24"/>
              </w:rPr>
            </w:pPr>
            <w:r>
              <w:rPr>
                <w:rFonts w:hint="eastAsia"/>
                <w:sz w:val="24"/>
                <w:szCs w:val="24"/>
              </w:rPr>
              <w:t>（</w:t>
            </w:r>
            <w:r>
              <w:rPr>
                <w:sz w:val="24"/>
                <w:szCs w:val="24"/>
              </w:rPr>
              <w:t>4</w:t>
            </w:r>
            <w:r>
              <w:rPr>
                <w:rFonts w:hint="eastAsia"/>
                <w:sz w:val="24"/>
                <w:szCs w:val="24"/>
              </w:rPr>
              <w:t>）消防工程</w:t>
            </w:r>
          </w:p>
          <w:p>
            <w:pPr>
              <w:spacing w:line="360" w:lineRule="auto"/>
              <w:ind w:firstLine="480" w:firstLineChars="200"/>
              <w:jc w:val="left"/>
              <w:rPr>
                <w:sz w:val="24"/>
                <w:szCs w:val="24"/>
              </w:rPr>
            </w:pPr>
            <w:r>
              <w:rPr>
                <w:rFonts w:hint="eastAsia"/>
                <w:sz w:val="24"/>
                <w:szCs w:val="24"/>
              </w:rPr>
              <w:t>主城区垃圾转运站转运车间高度约9米，体积低于10000m³，耐火等级为2级，为戊类厂房。根据《建筑设计防火规范》第8.4.1条规定，本建筑物可不设室内消防给水。按规范设置磷酸铵盐干粉手提式灭火器。主城区垃圾中转站内的建筑物无室内消防用水，根据《建筑设计防火规范》确定，同一时间火灾次数为1次，室外消火栓消防用水量为15l/s。厂区内同一时间火灾按一次考虑，火灾延续时间两小时，消防水源由消防水池提供，水池有效容积为120m</w:t>
            </w:r>
            <w:r>
              <w:rPr>
                <w:rFonts w:hint="eastAsia"/>
                <w:sz w:val="24"/>
                <w:szCs w:val="24"/>
                <w:vertAlign w:val="superscript"/>
              </w:rPr>
              <w:t>3</w:t>
            </w:r>
            <w:r>
              <w:rPr>
                <w:rFonts w:hint="eastAsia"/>
                <w:sz w:val="24"/>
                <w:szCs w:val="24"/>
              </w:rPr>
              <w:t>。</w:t>
            </w:r>
          </w:p>
          <w:p>
            <w:pPr>
              <w:spacing w:line="360" w:lineRule="auto"/>
              <w:ind w:firstLine="480" w:firstLineChars="200"/>
              <w:jc w:val="left"/>
              <w:rPr>
                <w:sz w:val="24"/>
                <w:szCs w:val="24"/>
              </w:rPr>
            </w:pPr>
            <w:r>
              <w:rPr>
                <w:rFonts w:hint="eastAsia"/>
                <w:sz w:val="24"/>
                <w:szCs w:val="24"/>
              </w:rPr>
              <w:t>寿王坟镇垃圾转运站转运车间高度约</w:t>
            </w:r>
            <w:r>
              <w:rPr>
                <w:sz w:val="24"/>
                <w:szCs w:val="24"/>
              </w:rPr>
              <w:t>6</w:t>
            </w:r>
            <w:r>
              <w:rPr>
                <w:rFonts w:hint="eastAsia"/>
                <w:sz w:val="24"/>
                <w:szCs w:val="24"/>
              </w:rPr>
              <w:t>米，体积低于10000m³，消防措施与主城区垃圾转运站相同。</w:t>
            </w:r>
          </w:p>
          <w:p>
            <w:pPr>
              <w:tabs>
                <w:tab w:val="left" w:pos="4110"/>
              </w:tabs>
              <w:spacing w:line="360" w:lineRule="auto"/>
              <w:ind w:firstLine="482" w:firstLineChars="200"/>
              <w:rPr>
                <w:b/>
                <w:bCs/>
                <w:sz w:val="24"/>
              </w:rPr>
            </w:pPr>
            <w:r>
              <w:rPr>
                <w:b/>
                <w:bCs/>
                <w:sz w:val="24"/>
              </w:rPr>
              <w:t>9、产业政策符合性分析</w:t>
            </w:r>
          </w:p>
          <w:p>
            <w:pPr>
              <w:adjustRightInd/>
              <w:spacing w:line="360" w:lineRule="auto"/>
              <w:ind w:firstLine="480" w:firstLineChars="200"/>
              <w:textAlignment w:val="auto"/>
              <w:rPr>
                <w:b/>
                <w:bCs/>
                <w:kern w:val="2"/>
                <w:sz w:val="24"/>
                <w:szCs w:val="24"/>
              </w:rPr>
            </w:pPr>
            <w:r>
              <w:rPr>
                <w:sz w:val="24"/>
              </w:rPr>
              <w:t>项目根据</w:t>
            </w:r>
            <w:r>
              <w:rPr>
                <w:bCs/>
                <w:sz w:val="24"/>
              </w:rPr>
              <w:t>中华人民共和国国家发展和改革委员会令第21号《产业结构调整指导目录（2011年本）》（2013年修正）中鼓励、限制、淘汰类，属于鼓励类；该项目不属于河北省人民政府办公厅冀政办发〔2015〕7号《关于印发河北省新增限制和淘汰类产业目录（2015年版）的通知》中限制、淘汰类产业目录中规定产业，因此，本项目符合相关产业政策。</w:t>
            </w:r>
          </w:p>
          <w:p>
            <w:pPr>
              <w:adjustRightInd/>
              <w:spacing w:line="360" w:lineRule="auto"/>
              <w:ind w:firstLine="482" w:firstLineChars="200"/>
              <w:textAlignment w:val="auto"/>
              <w:rPr>
                <w:b/>
                <w:bCs/>
                <w:kern w:val="2"/>
                <w:sz w:val="24"/>
                <w:szCs w:val="24"/>
              </w:rPr>
            </w:pPr>
            <w:r>
              <w:rPr>
                <w:rFonts w:hint="eastAsia"/>
                <w:b/>
                <w:bCs/>
                <w:kern w:val="2"/>
                <w:sz w:val="24"/>
                <w:szCs w:val="24"/>
              </w:rPr>
              <w:t>1</w:t>
            </w:r>
            <w:r>
              <w:rPr>
                <w:b/>
                <w:bCs/>
                <w:kern w:val="2"/>
                <w:sz w:val="24"/>
                <w:szCs w:val="24"/>
              </w:rPr>
              <w:t>0、</w:t>
            </w:r>
            <w:r>
              <w:rPr>
                <w:rFonts w:hint="eastAsia"/>
                <w:b/>
                <w:bCs/>
                <w:kern w:val="2"/>
                <w:sz w:val="24"/>
                <w:szCs w:val="24"/>
              </w:rPr>
              <w:t>环境</w:t>
            </w:r>
            <w:r>
              <w:rPr>
                <w:b/>
                <w:bCs/>
                <w:kern w:val="2"/>
                <w:sz w:val="24"/>
                <w:szCs w:val="24"/>
              </w:rPr>
              <w:t>管理符合性分析</w:t>
            </w:r>
          </w:p>
          <w:p>
            <w:pPr>
              <w:spacing w:line="360" w:lineRule="auto"/>
              <w:ind w:firstLine="480" w:firstLineChars="200"/>
              <w:rPr>
                <w:sz w:val="24"/>
                <w:szCs w:val="24"/>
              </w:rPr>
            </w:pPr>
            <w:r>
              <w:rPr>
                <w:rFonts w:hint="eastAsia"/>
                <w:sz w:val="24"/>
                <w:szCs w:val="24"/>
              </w:rPr>
              <w:t>（1）</w:t>
            </w:r>
            <w:r>
              <w:rPr>
                <w:sz w:val="24"/>
                <w:szCs w:val="24"/>
              </w:rPr>
              <w:t>与大气污染防治行动计划相符性分析</w:t>
            </w:r>
          </w:p>
          <w:p>
            <w:pPr>
              <w:autoSpaceDE w:val="0"/>
              <w:autoSpaceDN w:val="0"/>
              <w:spacing w:line="360" w:lineRule="auto"/>
              <w:jc w:val="center"/>
              <w:textAlignment w:val="auto"/>
              <w:rPr>
                <w:sz w:val="24"/>
                <w:szCs w:val="24"/>
              </w:rPr>
            </w:pPr>
            <w:r>
              <w:rPr>
                <w:rFonts w:hint="eastAsia"/>
                <w:sz w:val="24"/>
                <w:szCs w:val="24"/>
              </w:rPr>
              <w:t>表</w:t>
            </w:r>
            <w:r>
              <w:rPr>
                <w:sz w:val="24"/>
                <w:szCs w:val="24"/>
              </w:rPr>
              <w:t>9 本项目与大气污染防治行动计划相符性分析</w:t>
            </w:r>
          </w:p>
          <w:tbl>
            <w:tblPr>
              <w:tblStyle w:val="27"/>
              <w:tblW w:w="87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28" w:type="dxa"/>
                <w:bottom w:w="57" w:type="dxa"/>
                <w:right w:w="28" w:type="dxa"/>
              </w:tblCellMar>
            </w:tblPr>
            <w:tblGrid>
              <w:gridCol w:w="936"/>
              <w:gridCol w:w="4060"/>
              <w:gridCol w:w="2834"/>
              <w:gridCol w:w="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340" w:hRule="atLeast"/>
                <w:tblHeader/>
                <w:jc w:val="center"/>
              </w:trPr>
              <w:tc>
                <w:tcPr>
                  <w:tcW w:w="936" w:type="dxa"/>
                  <w:vAlign w:val="center"/>
                </w:tcPr>
                <w:p>
                  <w:pPr>
                    <w:pStyle w:val="87"/>
                    <w:spacing w:line="360" w:lineRule="auto"/>
                    <w:rPr>
                      <w:rFonts w:hAnsi="Times New Roman"/>
                      <w:b/>
                      <w:szCs w:val="21"/>
                    </w:rPr>
                  </w:pPr>
                  <w:r>
                    <w:rPr>
                      <w:rFonts w:hAnsi="Times New Roman"/>
                      <w:b/>
                      <w:szCs w:val="21"/>
                    </w:rPr>
                    <w:t>文件名称</w:t>
                  </w:r>
                </w:p>
              </w:tc>
              <w:tc>
                <w:tcPr>
                  <w:tcW w:w="4060" w:type="dxa"/>
                  <w:tcMar>
                    <w:top w:w="57" w:type="dxa"/>
                    <w:bottom w:w="57" w:type="dxa"/>
                  </w:tcMar>
                  <w:vAlign w:val="center"/>
                </w:tcPr>
                <w:p>
                  <w:pPr>
                    <w:pStyle w:val="87"/>
                    <w:spacing w:line="360" w:lineRule="auto"/>
                    <w:rPr>
                      <w:rFonts w:hAnsi="Times New Roman"/>
                      <w:b/>
                      <w:szCs w:val="21"/>
                    </w:rPr>
                  </w:pPr>
                  <w:r>
                    <w:rPr>
                      <w:rFonts w:hAnsi="Times New Roman"/>
                      <w:b/>
                      <w:szCs w:val="21"/>
                    </w:rPr>
                    <w:t>与项目有关的条例、条文</w:t>
                  </w:r>
                </w:p>
              </w:tc>
              <w:tc>
                <w:tcPr>
                  <w:tcW w:w="2834" w:type="dxa"/>
                  <w:tcMar>
                    <w:top w:w="57" w:type="dxa"/>
                    <w:bottom w:w="57" w:type="dxa"/>
                  </w:tcMar>
                  <w:vAlign w:val="center"/>
                </w:tcPr>
                <w:p>
                  <w:pPr>
                    <w:pStyle w:val="87"/>
                    <w:spacing w:line="360" w:lineRule="auto"/>
                    <w:rPr>
                      <w:rFonts w:hAnsi="Times New Roman"/>
                      <w:b/>
                      <w:szCs w:val="21"/>
                    </w:rPr>
                  </w:pPr>
                  <w:r>
                    <w:rPr>
                      <w:rFonts w:hAnsi="Times New Roman"/>
                      <w:b/>
                      <w:szCs w:val="21"/>
                    </w:rPr>
                    <w:t>本项目</w:t>
                  </w:r>
                </w:p>
              </w:tc>
              <w:tc>
                <w:tcPr>
                  <w:tcW w:w="880" w:type="dxa"/>
                  <w:vAlign w:val="center"/>
                </w:tcPr>
                <w:p>
                  <w:pPr>
                    <w:pStyle w:val="87"/>
                    <w:spacing w:line="360" w:lineRule="auto"/>
                    <w:rPr>
                      <w:rFonts w:hAnsi="Times New Roman"/>
                      <w:b/>
                      <w:szCs w:val="21"/>
                    </w:rPr>
                  </w:pPr>
                  <w:r>
                    <w:rPr>
                      <w:rFonts w:hAnsi="Times New Roman"/>
                      <w:b/>
                      <w:szCs w:val="21"/>
                    </w:rPr>
                    <w:t>政策</w:t>
                  </w:r>
                </w:p>
                <w:p>
                  <w:pPr>
                    <w:pStyle w:val="87"/>
                    <w:spacing w:line="360" w:lineRule="auto"/>
                    <w:rPr>
                      <w:rFonts w:hAnsi="Times New Roman"/>
                      <w:b/>
                      <w:szCs w:val="21"/>
                    </w:rPr>
                  </w:pPr>
                  <w:r>
                    <w:rPr>
                      <w:rFonts w:hAnsi="Times New Roman"/>
                      <w:b/>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340" w:hRule="atLeast"/>
                <w:jc w:val="center"/>
              </w:trPr>
              <w:tc>
                <w:tcPr>
                  <w:tcW w:w="936" w:type="dxa"/>
                  <w:vMerge w:val="restart"/>
                  <w:vAlign w:val="center"/>
                </w:tcPr>
                <w:p>
                  <w:pPr>
                    <w:pStyle w:val="87"/>
                    <w:spacing w:line="360" w:lineRule="auto"/>
                    <w:rPr>
                      <w:rFonts w:hAnsi="Times New Roman"/>
                      <w:szCs w:val="21"/>
                    </w:rPr>
                  </w:pPr>
                  <w:r>
                    <w:rPr>
                      <w:rFonts w:hAnsi="Times New Roman"/>
                      <w:szCs w:val="21"/>
                    </w:rPr>
                    <w:t>《国务院关于印发大气污染防治行动计划的通知》（国发[2013]37号）</w:t>
                  </w:r>
                </w:p>
              </w:tc>
              <w:tc>
                <w:tcPr>
                  <w:tcW w:w="4060" w:type="dxa"/>
                  <w:tcMar>
                    <w:top w:w="57" w:type="dxa"/>
                    <w:bottom w:w="57" w:type="dxa"/>
                  </w:tcMar>
                  <w:vAlign w:val="center"/>
                </w:tcPr>
                <w:p>
                  <w:pPr>
                    <w:pStyle w:val="87"/>
                    <w:spacing w:line="360" w:lineRule="auto"/>
                    <w:rPr>
                      <w:rFonts w:hAnsi="Times New Roman"/>
                      <w:szCs w:val="21"/>
                    </w:rPr>
                  </w:pPr>
                  <w:r>
                    <w:rPr>
                      <w:rFonts w:hAnsi="Times New Roman"/>
                      <w:szCs w:val="21"/>
                    </w:rPr>
                    <w:t>加强工业企业大气污染综合治理</w:t>
                  </w:r>
                </w:p>
              </w:tc>
              <w:tc>
                <w:tcPr>
                  <w:tcW w:w="2834" w:type="dxa"/>
                  <w:tcMar>
                    <w:top w:w="57" w:type="dxa"/>
                    <w:bottom w:w="57" w:type="dxa"/>
                  </w:tcMar>
                  <w:vAlign w:val="center"/>
                </w:tcPr>
                <w:p>
                  <w:pPr>
                    <w:pStyle w:val="87"/>
                    <w:spacing w:line="360" w:lineRule="auto"/>
                    <w:rPr>
                      <w:rFonts w:hAnsi="Times New Roman"/>
                      <w:szCs w:val="21"/>
                    </w:rPr>
                  </w:pPr>
                  <w:r>
                    <w:rPr>
                      <w:rFonts w:hAnsi="Times New Roman"/>
                      <w:szCs w:val="21"/>
                    </w:rPr>
                    <w:t>本项目各废气均采取合理可靠有效的废气处理措施</w:t>
                  </w:r>
                </w:p>
              </w:tc>
              <w:tc>
                <w:tcPr>
                  <w:tcW w:w="880" w:type="dxa"/>
                  <w:vAlign w:val="center"/>
                </w:tcPr>
                <w:p>
                  <w:pPr>
                    <w:pStyle w:val="87"/>
                    <w:spacing w:line="360" w:lineRule="auto"/>
                    <w:rPr>
                      <w:rFonts w:hAnsi="Times New Roman"/>
                      <w:szCs w:val="21"/>
                    </w:rPr>
                  </w:pPr>
                  <w:r>
                    <w:rPr>
                      <w:rFonts w:hAnsi="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340" w:hRule="atLeast"/>
                <w:jc w:val="center"/>
              </w:trPr>
              <w:tc>
                <w:tcPr>
                  <w:tcW w:w="936" w:type="dxa"/>
                  <w:vMerge w:val="continue"/>
                  <w:vAlign w:val="center"/>
                </w:tcPr>
                <w:p>
                  <w:pPr>
                    <w:pStyle w:val="87"/>
                    <w:spacing w:line="360" w:lineRule="auto"/>
                    <w:rPr>
                      <w:rFonts w:hAnsi="Times New Roman"/>
                      <w:szCs w:val="21"/>
                    </w:rPr>
                  </w:pPr>
                </w:p>
              </w:tc>
              <w:tc>
                <w:tcPr>
                  <w:tcW w:w="4060" w:type="dxa"/>
                  <w:tcMar>
                    <w:top w:w="57" w:type="dxa"/>
                    <w:bottom w:w="57" w:type="dxa"/>
                  </w:tcMar>
                  <w:vAlign w:val="center"/>
                </w:tcPr>
                <w:p>
                  <w:pPr>
                    <w:pStyle w:val="87"/>
                    <w:spacing w:line="360" w:lineRule="auto"/>
                    <w:rPr>
                      <w:rFonts w:hAnsi="Times New Roman"/>
                      <w:szCs w:val="21"/>
                    </w:rPr>
                  </w:pPr>
                  <w:r>
                    <w:rPr>
                      <w:rFonts w:hAnsi="Times New Roman"/>
                      <w:szCs w:val="21"/>
                    </w:rPr>
                    <w:t>全面整治燃煤小锅炉。在供热供气管网不能覆盖的地区，改用电、新能源或洁净煤，推广应用高效节能环保型锅炉</w:t>
                  </w:r>
                </w:p>
              </w:tc>
              <w:tc>
                <w:tcPr>
                  <w:tcW w:w="2834" w:type="dxa"/>
                  <w:tcMar>
                    <w:top w:w="57" w:type="dxa"/>
                    <w:bottom w:w="57" w:type="dxa"/>
                  </w:tcMar>
                  <w:vAlign w:val="center"/>
                </w:tcPr>
                <w:p>
                  <w:pPr>
                    <w:pStyle w:val="87"/>
                    <w:spacing w:line="360" w:lineRule="auto"/>
                    <w:rPr>
                      <w:rFonts w:hAnsi="Times New Roman"/>
                      <w:szCs w:val="21"/>
                    </w:rPr>
                  </w:pPr>
                  <w:r>
                    <w:rPr>
                      <w:rFonts w:hint="eastAsia" w:hAnsi="Times New Roman"/>
                      <w:szCs w:val="21"/>
                    </w:rPr>
                    <w:t>本项目用热采用天然气</w:t>
                  </w:r>
                  <w:r>
                    <w:rPr>
                      <w:rFonts w:hAnsi="Times New Roman"/>
                      <w:szCs w:val="21"/>
                    </w:rPr>
                    <w:t>，不设燃煤、燃油</w:t>
                  </w:r>
                  <w:r>
                    <w:rPr>
                      <w:rFonts w:hint="eastAsia" w:hAnsi="Times New Roman"/>
                      <w:szCs w:val="21"/>
                    </w:rPr>
                    <w:t>、燃气</w:t>
                  </w:r>
                  <w:r>
                    <w:rPr>
                      <w:rFonts w:hAnsi="Times New Roman"/>
                      <w:szCs w:val="21"/>
                    </w:rPr>
                    <w:t>锅炉</w:t>
                  </w:r>
                </w:p>
              </w:tc>
              <w:tc>
                <w:tcPr>
                  <w:tcW w:w="880" w:type="dxa"/>
                  <w:vAlign w:val="center"/>
                </w:tcPr>
                <w:p>
                  <w:pPr>
                    <w:pStyle w:val="87"/>
                    <w:spacing w:line="360" w:lineRule="auto"/>
                    <w:rPr>
                      <w:rFonts w:hAnsi="Times New Roman"/>
                      <w:szCs w:val="21"/>
                    </w:rPr>
                  </w:pPr>
                  <w:r>
                    <w:rPr>
                      <w:rFonts w:hAnsi="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340" w:hRule="atLeast"/>
                <w:jc w:val="center"/>
              </w:trPr>
              <w:tc>
                <w:tcPr>
                  <w:tcW w:w="936" w:type="dxa"/>
                  <w:vMerge w:val="continue"/>
                  <w:vAlign w:val="center"/>
                </w:tcPr>
                <w:p>
                  <w:pPr>
                    <w:pStyle w:val="87"/>
                    <w:spacing w:line="360" w:lineRule="auto"/>
                    <w:rPr>
                      <w:rFonts w:hAnsi="Times New Roman"/>
                      <w:szCs w:val="21"/>
                    </w:rPr>
                  </w:pPr>
                </w:p>
              </w:tc>
              <w:tc>
                <w:tcPr>
                  <w:tcW w:w="4060" w:type="dxa"/>
                  <w:tcMar>
                    <w:top w:w="57" w:type="dxa"/>
                    <w:bottom w:w="57" w:type="dxa"/>
                  </w:tcMar>
                  <w:vAlign w:val="center"/>
                </w:tcPr>
                <w:p>
                  <w:pPr>
                    <w:pStyle w:val="87"/>
                    <w:spacing w:line="360" w:lineRule="auto"/>
                    <w:rPr>
                      <w:rFonts w:hAnsi="Times New Roman"/>
                      <w:b/>
                      <w:bCs/>
                      <w:szCs w:val="21"/>
                    </w:rPr>
                  </w:pPr>
                  <w:r>
                    <w:rPr>
                      <w:rFonts w:hAnsi="Times New Roman"/>
                      <w:szCs w:val="21"/>
                    </w:rPr>
                    <w:t>加快淘汰落后产能，结合产业发展实际和环境质量状况，进一步提高环保、能耗、安全、质量等标准，分区域明确落后产能淘汰任务，倒</w:t>
                  </w:r>
                  <w:r>
                    <w:rPr>
                      <w:rFonts w:hint="eastAsia" w:hAnsi="Times New Roman"/>
                      <w:szCs w:val="21"/>
                    </w:rPr>
                    <w:t>闭</w:t>
                  </w:r>
                  <w:r>
                    <w:rPr>
                      <w:rFonts w:hAnsi="Times New Roman"/>
                      <w:szCs w:val="21"/>
                    </w:rPr>
                    <w:t>产业转型升级</w:t>
                  </w:r>
                </w:p>
              </w:tc>
              <w:tc>
                <w:tcPr>
                  <w:tcW w:w="2834" w:type="dxa"/>
                  <w:tcMar>
                    <w:top w:w="57" w:type="dxa"/>
                    <w:bottom w:w="57" w:type="dxa"/>
                  </w:tcMar>
                  <w:vAlign w:val="center"/>
                </w:tcPr>
                <w:p>
                  <w:pPr>
                    <w:pStyle w:val="87"/>
                    <w:spacing w:line="360" w:lineRule="auto"/>
                    <w:rPr>
                      <w:rFonts w:hAnsi="Times New Roman"/>
                      <w:szCs w:val="21"/>
                    </w:rPr>
                  </w:pPr>
                  <w:r>
                    <w:rPr>
                      <w:rFonts w:hAnsi="Times New Roman"/>
                      <w:szCs w:val="21"/>
                    </w:rPr>
                    <w:t>本项目不属于《产业结构调整指导目录（2011年本）》（2013年修正）中规定的限制类、淘汰类项目</w:t>
                  </w:r>
                  <w:r>
                    <w:rPr>
                      <w:rFonts w:hint="eastAsia" w:hAnsi="Times New Roman"/>
                      <w:szCs w:val="21"/>
                    </w:rPr>
                    <w:t>，属允许类</w:t>
                  </w:r>
                </w:p>
              </w:tc>
              <w:tc>
                <w:tcPr>
                  <w:tcW w:w="880" w:type="dxa"/>
                  <w:vAlign w:val="center"/>
                </w:tcPr>
                <w:p>
                  <w:pPr>
                    <w:pStyle w:val="87"/>
                    <w:spacing w:line="360" w:lineRule="auto"/>
                    <w:rPr>
                      <w:rFonts w:hAnsi="Times New Roman"/>
                      <w:szCs w:val="21"/>
                    </w:rPr>
                  </w:pPr>
                  <w:r>
                    <w:rPr>
                      <w:rFonts w:hAnsi="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340" w:hRule="atLeast"/>
                <w:jc w:val="center"/>
              </w:trPr>
              <w:tc>
                <w:tcPr>
                  <w:tcW w:w="936" w:type="dxa"/>
                  <w:vMerge w:val="continue"/>
                  <w:vAlign w:val="center"/>
                </w:tcPr>
                <w:p>
                  <w:pPr>
                    <w:pStyle w:val="87"/>
                    <w:spacing w:line="360" w:lineRule="auto"/>
                    <w:rPr>
                      <w:rFonts w:hAnsi="Times New Roman"/>
                      <w:szCs w:val="21"/>
                    </w:rPr>
                  </w:pPr>
                </w:p>
              </w:tc>
              <w:tc>
                <w:tcPr>
                  <w:tcW w:w="4060" w:type="dxa"/>
                  <w:tcMar>
                    <w:top w:w="57" w:type="dxa"/>
                    <w:bottom w:w="57" w:type="dxa"/>
                  </w:tcMar>
                  <w:vAlign w:val="center"/>
                </w:tcPr>
                <w:p>
                  <w:pPr>
                    <w:pStyle w:val="87"/>
                    <w:spacing w:line="360" w:lineRule="auto"/>
                    <w:rPr>
                      <w:rFonts w:hAnsi="Times New Roman"/>
                      <w:szCs w:val="21"/>
                    </w:rPr>
                  </w:pPr>
                  <w:r>
                    <w:rPr>
                      <w:rFonts w:hAnsi="Times New Roman"/>
                      <w:szCs w:val="21"/>
                    </w:rPr>
                    <w:t>全面推行清洁生产</w:t>
                  </w:r>
                </w:p>
              </w:tc>
              <w:tc>
                <w:tcPr>
                  <w:tcW w:w="2834" w:type="dxa"/>
                  <w:tcMar>
                    <w:top w:w="57" w:type="dxa"/>
                    <w:bottom w:w="57" w:type="dxa"/>
                  </w:tcMar>
                  <w:vAlign w:val="center"/>
                </w:tcPr>
                <w:p>
                  <w:pPr>
                    <w:pStyle w:val="87"/>
                    <w:spacing w:line="360" w:lineRule="auto"/>
                    <w:rPr>
                      <w:rFonts w:hAnsi="Times New Roman"/>
                      <w:szCs w:val="21"/>
                    </w:rPr>
                  </w:pPr>
                  <w:r>
                    <w:rPr>
                      <w:rFonts w:hAnsi="Times New Roman"/>
                      <w:szCs w:val="21"/>
                    </w:rPr>
                    <w:t>本项目</w:t>
                  </w:r>
                  <w:r>
                    <w:rPr>
                      <w:rFonts w:hint="eastAsia" w:hAnsi="Times New Roman"/>
                      <w:szCs w:val="21"/>
                    </w:rPr>
                    <w:t>建设选用节能，节电环保设备，减少能源的浪费，符合清洁生产要求</w:t>
                  </w:r>
                </w:p>
              </w:tc>
              <w:tc>
                <w:tcPr>
                  <w:tcW w:w="880" w:type="dxa"/>
                  <w:vAlign w:val="center"/>
                </w:tcPr>
                <w:p>
                  <w:pPr>
                    <w:pStyle w:val="87"/>
                    <w:spacing w:line="360" w:lineRule="auto"/>
                    <w:rPr>
                      <w:rFonts w:hAnsi="Times New Roman"/>
                      <w:szCs w:val="21"/>
                    </w:rPr>
                  </w:pPr>
                  <w:r>
                    <w:rPr>
                      <w:rFonts w:hAnsi="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340" w:hRule="atLeast"/>
                <w:jc w:val="center"/>
              </w:trPr>
              <w:tc>
                <w:tcPr>
                  <w:tcW w:w="936" w:type="dxa"/>
                  <w:vMerge w:val="restart"/>
                  <w:vAlign w:val="center"/>
                </w:tcPr>
                <w:p>
                  <w:pPr>
                    <w:pStyle w:val="87"/>
                    <w:spacing w:line="360" w:lineRule="auto"/>
                    <w:rPr>
                      <w:rFonts w:hAnsi="Times New Roman"/>
                      <w:szCs w:val="21"/>
                    </w:rPr>
                  </w:pPr>
                  <w:r>
                    <w:rPr>
                      <w:rFonts w:hAnsi="Times New Roman"/>
                      <w:szCs w:val="21"/>
                    </w:rPr>
                    <w:t>《河北省大气污染防治行动计划实施方案》</w:t>
                  </w:r>
                </w:p>
              </w:tc>
              <w:tc>
                <w:tcPr>
                  <w:tcW w:w="4060" w:type="dxa"/>
                  <w:tcMar>
                    <w:top w:w="57" w:type="dxa"/>
                    <w:bottom w:w="57" w:type="dxa"/>
                  </w:tcMar>
                  <w:vAlign w:val="center"/>
                </w:tcPr>
                <w:p>
                  <w:pPr>
                    <w:pStyle w:val="87"/>
                    <w:spacing w:line="360" w:lineRule="auto"/>
                    <w:rPr>
                      <w:rFonts w:hAnsi="Times New Roman"/>
                      <w:szCs w:val="21"/>
                    </w:rPr>
                  </w:pPr>
                  <w:r>
                    <w:rPr>
                      <w:rFonts w:hAnsi="Times New Roman"/>
                      <w:szCs w:val="21"/>
                    </w:rPr>
                    <w:t>禁燃区内不得新建燃烧煤炭、重油、渣油等高污染燃料的设施；现有燃烧高污染燃料的设施，应当限期改用清洁能源；未改用清洁能源替代的高污染燃料设施，应当配套建设先进工艺的脱硫、脱硝、除尘装置或者采取其他措施，控制二氧化硫、氮氧化物和烟尘等排放；仍未达到大气污染物排放标准的，应当停止使用</w:t>
                  </w:r>
                </w:p>
              </w:tc>
              <w:tc>
                <w:tcPr>
                  <w:tcW w:w="2834" w:type="dxa"/>
                  <w:tcMar>
                    <w:top w:w="57" w:type="dxa"/>
                    <w:bottom w:w="57" w:type="dxa"/>
                  </w:tcMar>
                  <w:vAlign w:val="center"/>
                </w:tcPr>
                <w:p>
                  <w:pPr>
                    <w:pStyle w:val="87"/>
                    <w:spacing w:line="360" w:lineRule="auto"/>
                    <w:rPr>
                      <w:rFonts w:hAnsi="Times New Roman"/>
                      <w:szCs w:val="21"/>
                    </w:rPr>
                  </w:pPr>
                  <w:r>
                    <w:rPr>
                      <w:rFonts w:hint="eastAsia" w:hAnsi="Times New Roman"/>
                      <w:szCs w:val="21"/>
                    </w:rPr>
                    <w:t>本项目用热采用天然气</w:t>
                  </w:r>
                  <w:r>
                    <w:rPr>
                      <w:rFonts w:hAnsi="Times New Roman"/>
                      <w:szCs w:val="21"/>
                    </w:rPr>
                    <w:t>，不设燃煤、燃油</w:t>
                  </w:r>
                  <w:r>
                    <w:rPr>
                      <w:rFonts w:hint="eastAsia" w:hAnsi="Times New Roman"/>
                      <w:szCs w:val="21"/>
                    </w:rPr>
                    <w:t>、燃气等</w:t>
                  </w:r>
                  <w:r>
                    <w:rPr>
                      <w:rFonts w:hAnsi="Times New Roman"/>
                      <w:szCs w:val="21"/>
                    </w:rPr>
                    <w:t>锅炉</w:t>
                  </w:r>
                </w:p>
              </w:tc>
              <w:tc>
                <w:tcPr>
                  <w:tcW w:w="880" w:type="dxa"/>
                  <w:vAlign w:val="center"/>
                </w:tcPr>
                <w:p>
                  <w:pPr>
                    <w:pStyle w:val="87"/>
                    <w:spacing w:line="360" w:lineRule="auto"/>
                    <w:rPr>
                      <w:rFonts w:hAnsi="Times New Roman"/>
                      <w:szCs w:val="21"/>
                    </w:rPr>
                  </w:pPr>
                  <w:r>
                    <w:rPr>
                      <w:rFonts w:hAnsi="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340" w:hRule="atLeast"/>
                <w:jc w:val="center"/>
              </w:trPr>
              <w:tc>
                <w:tcPr>
                  <w:tcW w:w="936" w:type="dxa"/>
                  <w:vMerge w:val="continue"/>
                  <w:vAlign w:val="center"/>
                </w:tcPr>
                <w:p>
                  <w:pPr>
                    <w:pStyle w:val="87"/>
                    <w:spacing w:line="360" w:lineRule="auto"/>
                    <w:rPr>
                      <w:rFonts w:hAnsi="Times New Roman"/>
                      <w:szCs w:val="21"/>
                    </w:rPr>
                  </w:pPr>
                </w:p>
              </w:tc>
              <w:tc>
                <w:tcPr>
                  <w:tcW w:w="4060" w:type="dxa"/>
                  <w:tcMar>
                    <w:top w:w="57" w:type="dxa"/>
                    <w:bottom w:w="57" w:type="dxa"/>
                  </w:tcMar>
                  <w:vAlign w:val="center"/>
                </w:tcPr>
                <w:p>
                  <w:pPr>
                    <w:pStyle w:val="87"/>
                    <w:spacing w:line="360" w:lineRule="auto"/>
                    <w:rPr>
                      <w:rFonts w:hAnsi="Times New Roman"/>
                      <w:szCs w:val="21"/>
                    </w:rPr>
                  </w:pPr>
                  <w:r>
                    <w:rPr>
                      <w:rFonts w:hAnsi="Times New Roman"/>
                      <w:szCs w:val="21"/>
                    </w:rPr>
                    <w:t>根据国家产业政策，严格控制新建、改建、扩建钢铁、水泥、平板玻璃、化学合成制药、有色金属冶炼、化工等工业项目</w:t>
                  </w:r>
                </w:p>
              </w:tc>
              <w:tc>
                <w:tcPr>
                  <w:tcW w:w="2834" w:type="dxa"/>
                  <w:tcMar>
                    <w:top w:w="57" w:type="dxa"/>
                    <w:bottom w:w="57" w:type="dxa"/>
                  </w:tcMar>
                  <w:vAlign w:val="center"/>
                </w:tcPr>
                <w:p>
                  <w:pPr>
                    <w:pStyle w:val="87"/>
                    <w:spacing w:line="360" w:lineRule="auto"/>
                    <w:rPr>
                      <w:rFonts w:hAnsi="Times New Roman"/>
                      <w:szCs w:val="21"/>
                    </w:rPr>
                  </w:pPr>
                  <w:r>
                    <w:rPr>
                      <w:rFonts w:hAnsi="Times New Roman"/>
                      <w:szCs w:val="21"/>
                    </w:rPr>
                    <w:t>本项目</w:t>
                  </w:r>
                  <w:r>
                    <w:rPr>
                      <w:rFonts w:hint="eastAsia" w:hAnsi="Times New Roman"/>
                      <w:szCs w:val="21"/>
                    </w:rPr>
                    <w:t>为公共设施管理类项目，不属于上述严格控制项目类别</w:t>
                  </w:r>
                  <w:r>
                    <w:rPr>
                      <w:rFonts w:hAnsi="Times New Roman"/>
                      <w:szCs w:val="21"/>
                    </w:rPr>
                    <w:t xml:space="preserve"> </w:t>
                  </w:r>
                </w:p>
              </w:tc>
              <w:tc>
                <w:tcPr>
                  <w:tcW w:w="880" w:type="dxa"/>
                  <w:vAlign w:val="center"/>
                </w:tcPr>
                <w:p>
                  <w:pPr>
                    <w:pStyle w:val="87"/>
                    <w:spacing w:line="360" w:lineRule="auto"/>
                    <w:rPr>
                      <w:rFonts w:hAnsi="Times New Roman"/>
                      <w:szCs w:val="21"/>
                    </w:rPr>
                  </w:pPr>
                  <w:r>
                    <w:rPr>
                      <w:rFonts w:hAnsi="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340" w:hRule="atLeast"/>
                <w:jc w:val="center"/>
              </w:trPr>
              <w:tc>
                <w:tcPr>
                  <w:tcW w:w="936" w:type="dxa"/>
                  <w:vMerge w:val="continue"/>
                  <w:vAlign w:val="center"/>
                </w:tcPr>
                <w:p>
                  <w:pPr>
                    <w:pStyle w:val="87"/>
                    <w:spacing w:line="360" w:lineRule="auto"/>
                    <w:rPr>
                      <w:rFonts w:hAnsi="Times New Roman"/>
                      <w:szCs w:val="21"/>
                    </w:rPr>
                  </w:pPr>
                </w:p>
              </w:tc>
              <w:tc>
                <w:tcPr>
                  <w:tcW w:w="4060" w:type="dxa"/>
                  <w:tcMar>
                    <w:top w:w="57" w:type="dxa"/>
                    <w:bottom w:w="57" w:type="dxa"/>
                  </w:tcMar>
                  <w:vAlign w:val="center"/>
                </w:tcPr>
                <w:p>
                  <w:pPr>
                    <w:pStyle w:val="87"/>
                    <w:spacing w:line="360" w:lineRule="auto"/>
                    <w:rPr>
                      <w:rFonts w:hAnsi="Times New Roman"/>
                      <w:szCs w:val="21"/>
                    </w:rPr>
                  </w:pPr>
                  <w:r>
                    <w:rPr>
                      <w:rFonts w:hAnsi="Times New Roman"/>
                      <w:szCs w:val="21"/>
                    </w:rPr>
                    <w:t>产生含挥发性有机物废气的生产和服务活动，应当在密闭空间或者设备中进行，并按照规定安装、使用污染防治设施；无法密闭的，应当采取措施减少废气排放</w:t>
                  </w:r>
                </w:p>
              </w:tc>
              <w:tc>
                <w:tcPr>
                  <w:tcW w:w="2834" w:type="dxa"/>
                  <w:tcMar>
                    <w:top w:w="57" w:type="dxa"/>
                    <w:bottom w:w="57" w:type="dxa"/>
                  </w:tcMar>
                  <w:vAlign w:val="center"/>
                </w:tcPr>
                <w:p>
                  <w:pPr>
                    <w:pStyle w:val="87"/>
                    <w:spacing w:line="360" w:lineRule="auto"/>
                    <w:rPr>
                      <w:rFonts w:hAnsi="Times New Roman"/>
                      <w:szCs w:val="21"/>
                    </w:rPr>
                  </w:pPr>
                  <w:r>
                    <w:rPr>
                      <w:rFonts w:hAnsi="Times New Roman"/>
                      <w:szCs w:val="21"/>
                    </w:rPr>
                    <w:t>本项目挥发性有机废气</w:t>
                  </w:r>
                  <w:r>
                    <w:rPr>
                      <w:rFonts w:hint="eastAsia" w:hAnsi="Times New Roman"/>
                      <w:szCs w:val="21"/>
                    </w:rPr>
                    <w:t>均采取合理可靠的废气处理措施进行有组织排放</w:t>
                  </w:r>
                </w:p>
              </w:tc>
              <w:tc>
                <w:tcPr>
                  <w:tcW w:w="880" w:type="dxa"/>
                  <w:vAlign w:val="center"/>
                </w:tcPr>
                <w:p>
                  <w:pPr>
                    <w:pStyle w:val="87"/>
                    <w:spacing w:line="360" w:lineRule="auto"/>
                    <w:rPr>
                      <w:rFonts w:hAnsi="Times New Roman"/>
                      <w:szCs w:val="21"/>
                    </w:rPr>
                  </w:pPr>
                  <w:r>
                    <w:rPr>
                      <w:rFonts w:hAnsi="Times New Roman"/>
                      <w:szCs w:val="21"/>
                    </w:rPr>
                    <w:t>符合</w:t>
                  </w:r>
                </w:p>
              </w:tc>
            </w:tr>
          </w:tbl>
          <w:p>
            <w:pPr>
              <w:spacing w:line="360" w:lineRule="auto"/>
              <w:ind w:firstLine="480" w:firstLineChars="200"/>
              <w:rPr>
                <w:sz w:val="24"/>
                <w:szCs w:val="24"/>
              </w:rPr>
            </w:pPr>
            <w:r>
              <w:rPr>
                <w:sz w:val="24"/>
                <w:szCs w:val="24"/>
              </w:rPr>
              <w:t>由</w:t>
            </w:r>
            <w:r>
              <w:rPr>
                <w:rFonts w:hint="eastAsia"/>
                <w:sz w:val="24"/>
                <w:szCs w:val="24"/>
              </w:rPr>
              <w:t>上</w:t>
            </w:r>
            <w:r>
              <w:rPr>
                <w:sz w:val="24"/>
                <w:szCs w:val="24"/>
              </w:rPr>
              <w:t>可知，本项目符合《国务院关于印发大气污染防治行动计划的通知》（国发[2013]37号）及《河北省大气污染防治行动计划实施方案》中相关要求。</w:t>
            </w:r>
          </w:p>
          <w:p>
            <w:pPr>
              <w:spacing w:line="360" w:lineRule="auto"/>
              <w:ind w:firstLine="480" w:firstLineChars="200"/>
              <w:rPr>
                <w:sz w:val="24"/>
                <w:szCs w:val="24"/>
              </w:rPr>
            </w:pPr>
            <w:r>
              <w:rPr>
                <w:rFonts w:hint="eastAsia"/>
                <w:sz w:val="24"/>
                <w:szCs w:val="24"/>
              </w:rPr>
              <w:t>（2）</w:t>
            </w:r>
            <w:r>
              <w:rPr>
                <w:sz w:val="24"/>
                <w:szCs w:val="24"/>
              </w:rPr>
              <w:t>与水污染防治行动计划相符性分析</w:t>
            </w:r>
          </w:p>
          <w:p>
            <w:pPr>
              <w:autoSpaceDE w:val="0"/>
              <w:autoSpaceDN w:val="0"/>
              <w:spacing w:line="360" w:lineRule="auto"/>
              <w:jc w:val="center"/>
              <w:textAlignment w:val="auto"/>
              <w:rPr>
                <w:sz w:val="24"/>
                <w:szCs w:val="24"/>
              </w:rPr>
            </w:pPr>
            <w:r>
              <w:rPr>
                <w:sz w:val="24"/>
                <w:szCs w:val="24"/>
              </w:rPr>
              <w:t>表10 本项目与水污染防治行动计划相符性分析</w:t>
            </w:r>
          </w:p>
          <w:tbl>
            <w:tblPr>
              <w:tblStyle w:val="27"/>
              <w:tblW w:w="87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28" w:type="dxa"/>
                <w:bottom w:w="57" w:type="dxa"/>
                <w:right w:w="28" w:type="dxa"/>
              </w:tblCellMar>
            </w:tblPr>
            <w:tblGrid>
              <w:gridCol w:w="936"/>
              <w:gridCol w:w="4697"/>
              <w:gridCol w:w="2180"/>
              <w:gridCol w:w="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340" w:hRule="atLeast"/>
                <w:tblHeader/>
                <w:jc w:val="center"/>
              </w:trPr>
              <w:tc>
                <w:tcPr>
                  <w:tcW w:w="936" w:type="dxa"/>
                  <w:vAlign w:val="center"/>
                </w:tcPr>
                <w:p>
                  <w:pPr>
                    <w:pStyle w:val="87"/>
                    <w:spacing w:line="360" w:lineRule="auto"/>
                    <w:rPr>
                      <w:rFonts w:hAnsi="Times New Roman"/>
                      <w:b/>
                      <w:szCs w:val="21"/>
                    </w:rPr>
                  </w:pPr>
                  <w:r>
                    <w:rPr>
                      <w:rFonts w:hAnsi="Times New Roman"/>
                      <w:b/>
                      <w:szCs w:val="21"/>
                    </w:rPr>
                    <w:t>文件名称</w:t>
                  </w:r>
                </w:p>
              </w:tc>
              <w:tc>
                <w:tcPr>
                  <w:tcW w:w="4697" w:type="dxa"/>
                  <w:tcMar>
                    <w:top w:w="57" w:type="dxa"/>
                    <w:bottom w:w="57" w:type="dxa"/>
                  </w:tcMar>
                  <w:vAlign w:val="center"/>
                </w:tcPr>
                <w:p>
                  <w:pPr>
                    <w:pStyle w:val="87"/>
                    <w:spacing w:line="360" w:lineRule="auto"/>
                    <w:rPr>
                      <w:rFonts w:hAnsi="Times New Roman"/>
                      <w:b/>
                      <w:szCs w:val="21"/>
                    </w:rPr>
                  </w:pPr>
                  <w:r>
                    <w:rPr>
                      <w:rFonts w:hAnsi="Times New Roman"/>
                      <w:b/>
                      <w:szCs w:val="21"/>
                    </w:rPr>
                    <w:t>与项目有关的条例、条文</w:t>
                  </w:r>
                </w:p>
              </w:tc>
              <w:tc>
                <w:tcPr>
                  <w:tcW w:w="2180" w:type="dxa"/>
                  <w:tcMar>
                    <w:top w:w="57" w:type="dxa"/>
                    <w:bottom w:w="57" w:type="dxa"/>
                  </w:tcMar>
                  <w:vAlign w:val="center"/>
                </w:tcPr>
                <w:p>
                  <w:pPr>
                    <w:pStyle w:val="87"/>
                    <w:spacing w:line="360" w:lineRule="auto"/>
                    <w:rPr>
                      <w:rFonts w:hAnsi="Times New Roman"/>
                      <w:b/>
                      <w:szCs w:val="21"/>
                    </w:rPr>
                  </w:pPr>
                  <w:r>
                    <w:rPr>
                      <w:rFonts w:hAnsi="Times New Roman"/>
                      <w:b/>
                      <w:szCs w:val="21"/>
                    </w:rPr>
                    <w:t>本项目</w:t>
                  </w:r>
                </w:p>
              </w:tc>
              <w:tc>
                <w:tcPr>
                  <w:tcW w:w="897" w:type="dxa"/>
                  <w:vAlign w:val="center"/>
                </w:tcPr>
                <w:p>
                  <w:pPr>
                    <w:pStyle w:val="87"/>
                    <w:spacing w:line="360" w:lineRule="auto"/>
                    <w:rPr>
                      <w:rFonts w:hAnsi="Times New Roman"/>
                      <w:b/>
                      <w:szCs w:val="21"/>
                    </w:rPr>
                  </w:pPr>
                  <w:r>
                    <w:rPr>
                      <w:rFonts w:hAnsi="Times New Roman"/>
                      <w:b/>
                      <w:szCs w:val="21"/>
                    </w:rPr>
                    <w:t>政策</w:t>
                  </w:r>
                </w:p>
                <w:p>
                  <w:pPr>
                    <w:pStyle w:val="87"/>
                    <w:spacing w:line="360" w:lineRule="auto"/>
                    <w:rPr>
                      <w:rFonts w:hAnsi="Times New Roman"/>
                      <w:b/>
                      <w:szCs w:val="21"/>
                    </w:rPr>
                  </w:pPr>
                  <w:r>
                    <w:rPr>
                      <w:rFonts w:hAnsi="Times New Roman"/>
                      <w:b/>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340" w:hRule="atLeast"/>
                <w:jc w:val="center"/>
              </w:trPr>
              <w:tc>
                <w:tcPr>
                  <w:tcW w:w="936" w:type="dxa"/>
                  <w:vMerge w:val="restart"/>
                  <w:vAlign w:val="center"/>
                </w:tcPr>
                <w:p>
                  <w:pPr>
                    <w:pStyle w:val="87"/>
                    <w:spacing w:line="360" w:lineRule="auto"/>
                    <w:rPr>
                      <w:rFonts w:hAnsi="Times New Roman"/>
                      <w:szCs w:val="21"/>
                    </w:rPr>
                  </w:pPr>
                  <w:r>
                    <w:rPr>
                      <w:rFonts w:hAnsi="Times New Roman"/>
                      <w:szCs w:val="21"/>
                    </w:rPr>
                    <w:t>《国务院关于印发水污染防治行动计划的通知》（国发[2015]17号）</w:t>
                  </w:r>
                </w:p>
              </w:tc>
              <w:tc>
                <w:tcPr>
                  <w:tcW w:w="4697" w:type="dxa"/>
                  <w:tcMar>
                    <w:top w:w="57" w:type="dxa"/>
                    <w:bottom w:w="57" w:type="dxa"/>
                  </w:tcMar>
                  <w:vAlign w:val="center"/>
                </w:tcPr>
                <w:p>
                  <w:pPr>
                    <w:pStyle w:val="87"/>
                    <w:spacing w:line="360" w:lineRule="auto"/>
                    <w:rPr>
                      <w:rFonts w:hAnsi="Times New Roman"/>
                      <w:szCs w:val="21"/>
                    </w:rPr>
                  </w:pPr>
                  <w:r>
                    <w:rPr>
                      <w:rFonts w:hAnsi="Times New Roman"/>
                      <w:szCs w:val="21"/>
                    </w:rPr>
                    <w:t>全部取缔不符合国家产业政策的小型造纸、制革、印染、染料、炼焦、炼硫、炼砷、炼油、电镀、农药等严重污染水环境的生产项目</w:t>
                  </w:r>
                </w:p>
              </w:tc>
              <w:tc>
                <w:tcPr>
                  <w:tcW w:w="2180" w:type="dxa"/>
                  <w:tcMar>
                    <w:top w:w="57" w:type="dxa"/>
                    <w:bottom w:w="57" w:type="dxa"/>
                  </w:tcMar>
                  <w:vAlign w:val="center"/>
                </w:tcPr>
                <w:p>
                  <w:pPr>
                    <w:pStyle w:val="87"/>
                    <w:spacing w:line="360" w:lineRule="auto"/>
                    <w:rPr>
                      <w:rFonts w:hAnsi="Times New Roman"/>
                      <w:szCs w:val="21"/>
                    </w:rPr>
                  </w:pPr>
                  <w:r>
                    <w:rPr>
                      <w:rFonts w:hAnsi="Times New Roman"/>
                      <w:szCs w:val="21"/>
                    </w:rPr>
                    <w:t>本项目</w:t>
                  </w:r>
                  <w:r>
                    <w:rPr>
                      <w:rFonts w:hint="eastAsia" w:hAnsi="Times New Roman"/>
                      <w:szCs w:val="21"/>
                    </w:rPr>
                    <w:t>为公共设施管理类项目</w:t>
                  </w:r>
                  <w:r>
                    <w:rPr>
                      <w:rFonts w:hAnsi="Times New Roman"/>
                      <w:szCs w:val="21"/>
                    </w:rPr>
                    <w:t>，不属于取缔类</w:t>
                  </w:r>
                </w:p>
              </w:tc>
              <w:tc>
                <w:tcPr>
                  <w:tcW w:w="897" w:type="dxa"/>
                  <w:vAlign w:val="center"/>
                </w:tcPr>
                <w:p>
                  <w:pPr>
                    <w:pStyle w:val="87"/>
                    <w:spacing w:line="360" w:lineRule="auto"/>
                    <w:rPr>
                      <w:rFonts w:hAnsi="Times New Roman"/>
                      <w:szCs w:val="21"/>
                    </w:rPr>
                  </w:pPr>
                  <w:r>
                    <w:rPr>
                      <w:rFonts w:hAnsi="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340" w:hRule="atLeast"/>
                <w:jc w:val="center"/>
              </w:trPr>
              <w:tc>
                <w:tcPr>
                  <w:tcW w:w="936" w:type="dxa"/>
                  <w:vMerge w:val="continue"/>
                  <w:vAlign w:val="center"/>
                </w:tcPr>
                <w:p>
                  <w:pPr>
                    <w:pStyle w:val="87"/>
                    <w:spacing w:line="360" w:lineRule="auto"/>
                    <w:rPr>
                      <w:rFonts w:hAnsi="Times New Roman"/>
                      <w:szCs w:val="21"/>
                    </w:rPr>
                  </w:pPr>
                </w:p>
              </w:tc>
              <w:tc>
                <w:tcPr>
                  <w:tcW w:w="4697" w:type="dxa"/>
                  <w:tcMar>
                    <w:top w:w="57" w:type="dxa"/>
                    <w:bottom w:w="57" w:type="dxa"/>
                  </w:tcMar>
                  <w:vAlign w:val="center"/>
                </w:tcPr>
                <w:p>
                  <w:pPr>
                    <w:pStyle w:val="87"/>
                    <w:spacing w:line="360" w:lineRule="auto"/>
                    <w:rPr>
                      <w:rFonts w:hAnsi="Times New Roman"/>
                      <w:b/>
                      <w:bCs/>
                      <w:szCs w:val="21"/>
                    </w:rPr>
                  </w:pPr>
                  <w:r>
                    <w:rPr>
                      <w:rFonts w:hAnsi="Times New Roman"/>
                      <w:szCs w:val="21"/>
                    </w:rPr>
                    <w:t>专项整治十大重点行业。制定造纸、焦化、氮肥、有色金属、印染、农副食品加工、原料药制造、制革、农药、电镀等行业专项治理方案，实施清洁化改造</w:t>
                  </w:r>
                </w:p>
              </w:tc>
              <w:tc>
                <w:tcPr>
                  <w:tcW w:w="2180" w:type="dxa"/>
                  <w:tcMar>
                    <w:top w:w="57" w:type="dxa"/>
                    <w:bottom w:w="57" w:type="dxa"/>
                  </w:tcMar>
                  <w:vAlign w:val="center"/>
                </w:tcPr>
                <w:p>
                  <w:pPr>
                    <w:pStyle w:val="87"/>
                    <w:spacing w:line="360" w:lineRule="auto"/>
                    <w:rPr>
                      <w:rFonts w:hAnsi="Times New Roman"/>
                      <w:szCs w:val="21"/>
                    </w:rPr>
                  </w:pPr>
                  <w:r>
                    <w:rPr>
                      <w:rFonts w:hAnsi="Times New Roman"/>
                      <w:szCs w:val="21"/>
                    </w:rPr>
                    <w:t>本项目</w:t>
                  </w:r>
                  <w:r>
                    <w:rPr>
                      <w:rFonts w:hint="eastAsia" w:hAnsi="Times New Roman"/>
                      <w:szCs w:val="21"/>
                    </w:rPr>
                    <w:t>为公共设施管理类项目</w:t>
                  </w:r>
                  <w:r>
                    <w:rPr>
                      <w:rFonts w:hAnsi="Times New Roman"/>
                      <w:szCs w:val="21"/>
                    </w:rPr>
                    <w:t>，不属于取缔类</w:t>
                  </w:r>
                </w:p>
              </w:tc>
              <w:tc>
                <w:tcPr>
                  <w:tcW w:w="897" w:type="dxa"/>
                  <w:vAlign w:val="center"/>
                </w:tcPr>
                <w:p>
                  <w:pPr>
                    <w:pStyle w:val="87"/>
                    <w:spacing w:line="360" w:lineRule="auto"/>
                    <w:rPr>
                      <w:rFonts w:hAnsi="Times New Roman"/>
                      <w:szCs w:val="21"/>
                    </w:rPr>
                  </w:pPr>
                  <w:r>
                    <w:rPr>
                      <w:rFonts w:hAnsi="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340" w:hRule="atLeast"/>
                <w:jc w:val="center"/>
              </w:trPr>
              <w:tc>
                <w:tcPr>
                  <w:tcW w:w="936" w:type="dxa"/>
                  <w:vMerge w:val="continue"/>
                  <w:vAlign w:val="center"/>
                </w:tcPr>
                <w:p>
                  <w:pPr>
                    <w:pStyle w:val="87"/>
                    <w:spacing w:line="360" w:lineRule="auto"/>
                    <w:rPr>
                      <w:rFonts w:hAnsi="Times New Roman"/>
                      <w:szCs w:val="21"/>
                    </w:rPr>
                  </w:pPr>
                </w:p>
              </w:tc>
              <w:tc>
                <w:tcPr>
                  <w:tcW w:w="4697" w:type="dxa"/>
                  <w:tcMar>
                    <w:top w:w="57" w:type="dxa"/>
                    <w:bottom w:w="57" w:type="dxa"/>
                  </w:tcMar>
                  <w:vAlign w:val="center"/>
                </w:tcPr>
                <w:p>
                  <w:pPr>
                    <w:pStyle w:val="87"/>
                    <w:spacing w:line="360" w:lineRule="auto"/>
                    <w:rPr>
                      <w:rFonts w:hAnsi="Times New Roman"/>
                      <w:b/>
                      <w:bCs/>
                      <w:szCs w:val="21"/>
                    </w:rPr>
                  </w:pPr>
                  <w:r>
                    <w:rPr>
                      <w:rFonts w:hAnsi="Times New Roman"/>
                      <w:szCs w:val="21"/>
                    </w:rPr>
                    <w:t>调整产业结构，依法淘汰落后产能；优化空间布局，合理确定发展布局、结构和规模</w:t>
                  </w:r>
                </w:p>
              </w:tc>
              <w:tc>
                <w:tcPr>
                  <w:tcW w:w="2180" w:type="dxa"/>
                  <w:tcMar>
                    <w:top w:w="57" w:type="dxa"/>
                    <w:bottom w:w="57" w:type="dxa"/>
                  </w:tcMar>
                  <w:vAlign w:val="center"/>
                </w:tcPr>
                <w:p>
                  <w:pPr>
                    <w:pStyle w:val="87"/>
                    <w:spacing w:line="360" w:lineRule="auto"/>
                    <w:rPr>
                      <w:rFonts w:hAnsi="Times New Roman"/>
                      <w:szCs w:val="21"/>
                    </w:rPr>
                  </w:pPr>
                  <w:r>
                    <w:rPr>
                      <w:rFonts w:hAnsi="Times New Roman"/>
                      <w:szCs w:val="21"/>
                    </w:rPr>
                    <w:t>本项目不属于《产业结构调整指导目录（2011年本）》（2013年修正）中规定的限制类、淘汰类项目</w:t>
                  </w:r>
                  <w:r>
                    <w:rPr>
                      <w:rFonts w:hint="eastAsia" w:hAnsi="Times New Roman"/>
                      <w:szCs w:val="21"/>
                    </w:rPr>
                    <w:t>，为允许类</w:t>
                  </w:r>
                </w:p>
              </w:tc>
              <w:tc>
                <w:tcPr>
                  <w:tcW w:w="897" w:type="dxa"/>
                  <w:vAlign w:val="center"/>
                </w:tcPr>
                <w:p>
                  <w:pPr>
                    <w:pStyle w:val="87"/>
                    <w:spacing w:line="360" w:lineRule="auto"/>
                    <w:rPr>
                      <w:rFonts w:hAnsi="Times New Roman"/>
                      <w:szCs w:val="21"/>
                    </w:rPr>
                  </w:pPr>
                  <w:r>
                    <w:rPr>
                      <w:rFonts w:hAnsi="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340" w:hRule="atLeast"/>
                <w:jc w:val="center"/>
              </w:trPr>
              <w:tc>
                <w:tcPr>
                  <w:tcW w:w="936" w:type="dxa"/>
                  <w:vMerge w:val="continue"/>
                  <w:vAlign w:val="center"/>
                </w:tcPr>
                <w:p>
                  <w:pPr>
                    <w:pStyle w:val="87"/>
                    <w:spacing w:line="360" w:lineRule="auto"/>
                    <w:rPr>
                      <w:rFonts w:hAnsi="Times New Roman"/>
                      <w:szCs w:val="21"/>
                    </w:rPr>
                  </w:pPr>
                </w:p>
              </w:tc>
              <w:tc>
                <w:tcPr>
                  <w:tcW w:w="4697" w:type="dxa"/>
                  <w:tcMar>
                    <w:top w:w="57" w:type="dxa"/>
                    <w:bottom w:w="57" w:type="dxa"/>
                  </w:tcMar>
                  <w:vAlign w:val="center"/>
                </w:tcPr>
                <w:p>
                  <w:pPr>
                    <w:pStyle w:val="87"/>
                    <w:spacing w:line="360" w:lineRule="auto"/>
                    <w:rPr>
                      <w:rFonts w:hAnsi="Times New Roman"/>
                      <w:szCs w:val="21"/>
                    </w:rPr>
                  </w:pPr>
                  <w:r>
                    <w:rPr>
                      <w:rFonts w:hAnsi="Times New Roman"/>
                      <w:szCs w:val="21"/>
                    </w:rPr>
                    <w:t>严控地下水超采，在地面沉降、地裂缝、岩溶塌陷等地质灾害易发区开发利用地下水，应进行地质灾害危险性评估。严格控制开采深层承压水，地热水、矿泉水开发应严格实行取水许可和采矿许可</w:t>
                  </w:r>
                </w:p>
              </w:tc>
              <w:tc>
                <w:tcPr>
                  <w:tcW w:w="2180" w:type="dxa"/>
                  <w:tcMar>
                    <w:top w:w="57" w:type="dxa"/>
                    <w:bottom w:w="57" w:type="dxa"/>
                  </w:tcMar>
                  <w:vAlign w:val="center"/>
                </w:tcPr>
                <w:p>
                  <w:pPr>
                    <w:pStyle w:val="87"/>
                    <w:spacing w:line="360" w:lineRule="auto"/>
                    <w:rPr>
                      <w:rFonts w:hAnsi="Times New Roman"/>
                      <w:szCs w:val="21"/>
                    </w:rPr>
                  </w:pPr>
                  <w:r>
                    <w:rPr>
                      <w:rFonts w:hAnsi="Times New Roman"/>
                      <w:szCs w:val="21"/>
                    </w:rPr>
                    <w:t>本项目用水</w:t>
                  </w:r>
                  <w:r>
                    <w:rPr>
                      <w:rFonts w:hint="eastAsia" w:hAnsi="Times New Roman"/>
                      <w:szCs w:val="21"/>
                    </w:rPr>
                    <w:t>为地下潜水做为水源，具备取水许可</w:t>
                  </w:r>
                </w:p>
              </w:tc>
              <w:tc>
                <w:tcPr>
                  <w:tcW w:w="897" w:type="dxa"/>
                  <w:vAlign w:val="center"/>
                </w:tcPr>
                <w:p>
                  <w:pPr>
                    <w:pStyle w:val="87"/>
                    <w:spacing w:line="360" w:lineRule="auto"/>
                    <w:rPr>
                      <w:rFonts w:hAnsi="Times New Roman"/>
                      <w:szCs w:val="21"/>
                    </w:rPr>
                  </w:pPr>
                  <w:r>
                    <w:rPr>
                      <w:rFonts w:hAnsi="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340" w:hRule="atLeast"/>
                <w:jc w:val="center"/>
              </w:trPr>
              <w:tc>
                <w:tcPr>
                  <w:tcW w:w="936" w:type="dxa"/>
                  <w:vMerge w:val="restart"/>
                  <w:vAlign w:val="center"/>
                </w:tcPr>
                <w:p>
                  <w:pPr>
                    <w:pStyle w:val="87"/>
                    <w:spacing w:line="360" w:lineRule="auto"/>
                    <w:rPr>
                      <w:rFonts w:hAnsi="Times New Roman"/>
                      <w:szCs w:val="21"/>
                    </w:rPr>
                  </w:pPr>
                  <w:r>
                    <w:rPr>
                      <w:rFonts w:hAnsi="Times New Roman"/>
                      <w:bCs/>
                      <w:szCs w:val="21"/>
                    </w:rPr>
                    <w:t>《河北省水污染防治工作方案》</w:t>
                  </w:r>
                </w:p>
              </w:tc>
              <w:tc>
                <w:tcPr>
                  <w:tcW w:w="4697" w:type="dxa"/>
                  <w:tcMar>
                    <w:top w:w="57" w:type="dxa"/>
                    <w:bottom w:w="57" w:type="dxa"/>
                  </w:tcMar>
                  <w:vAlign w:val="center"/>
                </w:tcPr>
                <w:p>
                  <w:pPr>
                    <w:pStyle w:val="87"/>
                    <w:spacing w:line="360" w:lineRule="auto"/>
                    <w:rPr>
                      <w:rFonts w:hAnsi="Times New Roman"/>
                      <w:szCs w:val="21"/>
                    </w:rPr>
                  </w:pPr>
                  <w:r>
                    <w:rPr>
                      <w:rFonts w:hAnsi="Times New Roman"/>
                      <w:szCs w:val="21"/>
                    </w:rPr>
                    <w:t>对造纸、焦化、氮肥、石油化工、印染、农副食品加工、原料药制造、制革、农药、电镀等“十大”重点行业，新建、改建、扩建项目实行新增主要污染物排放倍量替代</w:t>
                  </w:r>
                </w:p>
              </w:tc>
              <w:tc>
                <w:tcPr>
                  <w:tcW w:w="2180" w:type="dxa"/>
                  <w:tcMar>
                    <w:top w:w="57" w:type="dxa"/>
                    <w:bottom w:w="57" w:type="dxa"/>
                  </w:tcMar>
                  <w:vAlign w:val="center"/>
                </w:tcPr>
                <w:p>
                  <w:pPr>
                    <w:pStyle w:val="87"/>
                    <w:spacing w:line="360" w:lineRule="auto"/>
                    <w:rPr>
                      <w:rFonts w:hAnsi="Times New Roman"/>
                      <w:szCs w:val="21"/>
                    </w:rPr>
                  </w:pPr>
                  <w:r>
                    <w:rPr>
                      <w:rFonts w:hAnsi="Times New Roman"/>
                      <w:spacing w:val="-6"/>
                      <w:szCs w:val="21"/>
                    </w:rPr>
                    <w:t>本项目不属于所述“十大”重点行业</w:t>
                  </w:r>
                </w:p>
              </w:tc>
              <w:tc>
                <w:tcPr>
                  <w:tcW w:w="897" w:type="dxa"/>
                  <w:vAlign w:val="center"/>
                </w:tcPr>
                <w:p>
                  <w:pPr>
                    <w:pStyle w:val="87"/>
                    <w:spacing w:line="360" w:lineRule="auto"/>
                    <w:rPr>
                      <w:rFonts w:hAnsi="Times New Roman"/>
                      <w:szCs w:val="21"/>
                    </w:rPr>
                  </w:pPr>
                  <w:r>
                    <w:rPr>
                      <w:rFonts w:hAnsi="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340" w:hRule="atLeast"/>
                <w:jc w:val="center"/>
              </w:trPr>
              <w:tc>
                <w:tcPr>
                  <w:tcW w:w="936" w:type="dxa"/>
                  <w:vMerge w:val="continue"/>
                  <w:vAlign w:val="center"/>
                </w:tcPr>
                <w:p>
                  <w:pPr>
                    <w:pStyle w:val="87"/>
                    <w:spacing w:line="360" w:lineRule="auto"/>
                    <w:rPr>
                      <w:rFonts w:hAnsi="Times New Roman"/>
                      <w:szCs w:val="21"/>
                    </w:rPr>
                  </w:pPr>
                </w:p>
              </w:tc>
              <w:tc>
                <w:tcPr>
                  <w:tcW w:w="4697" w:type="dxa"/>
                  <w:tcMar>
                    <w:top w:w="57" w:type="dxa"/>
                    <w:bottom w:w="57" w:type="dxa"/>
                  </w:tcMar>
                  <w:vAlign w:val="center"/>
                </w:tcPr>
                <w:p>
                  <w:pPr>
                    <w:pStyle w:val="87"/>
                    <w:spacing w:line="360" w:lineRule="auto"/>
                    <w:rPr>
                      <w:rFonts w:hAnsi="Times New Roman"/>
                      <w:szCs w:val="21"/>
                    </w:rPr>
                  </w:pPr>
                  <w:r>
                    <w:rPr>
                      <w:rFonts w:hAnsi="Times New Roman"/>
                      <w:szCs w:val="21"/>
                    </w:rPr>
                    <w:t>全面取缔“十小”落后企业。2016年6月底前，完成全省装备水平低、环保设施差的小型企业排查，制定和实施不符合国家产业政策的小型造纸、制革、印染、染料、炼焦、炼砷、炼硫、炼油、电镀、农药等严重污染水环境的生产项目取缔实施方案，于2016年底前全部取缔</w:t>
                  </w:r>
                </w:p>
              </w:tc>
              <w:tc>
                <w:tcPr>
                  <w:tcW w:w="2180" w:type="dxa"/>
                  <w:tcMar>
                    <w:top w:w="57" w:type="dxa"/>
                    <w:bottom w:w="57" w:type="dxa"/>
                  </w:tcMar>
                  <w:vAlign w:val="center"/>
                </w:tcPr>
                <w:p>
                  <w:pPr>
                    <w:pStyle w:val="87"/>
                    <w:spacing w:line="360" w:lineRule="auto"/>
                    <w:rPr>
                      <w:rFonts w:hAnsi="Times New Roman"/>
                      <w:szCs w:val="21"/>
                    </w:rPr>
                  </w:pPr>
                  <w:r>
                    <w:rPr>
                      <w:rFonts w:hAnsi="Times New Roman"/>
                      <w:szCs w:val="21"/>
                    </w:rPr>
                    <w:t>本项目</w:t>
                  </w:r>
                  <w:r>
                    <w:rPr>
                      <w:rFonts w:hAnsi="Times New Roman"/>
                      <w:spacing w:val="-6"/>
                      <w:szCs w:val="21"/>
                    </w:rPr>
                    <w:t>不属于“十小”落后企业</w:t>
                  </w:r>
                </w:p>
              </w:tc>
              <w:tc>
                <w:tcPr>
                  <w:tcW w:w="897" w:type="dxa"/>
                  <w:vAlign w:val="center"/>
                </w:tcPr>
                <w:p>
                  <w:pPr>
                    <w:pStyle w:val="87"/>
                    <w:spacing w:line="360" w:lineRule="auto"/>
                    <w:rPr>
                      <w:rFonts w:hAnsi="Times New Roman"/>
                      <w:szCs w:val="21"/>
                    </w:rPr>
                  </w:pPr>
                  <w:r>
                    <w:rPr>
                      <w:rFonts w:hAnsi="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340" w:hRule="atLeast"/>
                <w:jc w:val="center"/>
              </w:trPr>
              <w:tc>
                <w:tcPr>
                  <w:tcW w:w="936" w:type="dxa"/>
                  <w:vMerge w:val="continue"/>
                  <w:vAlign w:val="center"/>
                </w:tcPr>
                <w:p>
                  <w:pPr>
                    <w:pStyle w:val="87"/>
                    <w:spacing w:line="360" w:lineRule="auto"/>
                    <w:rPr>
                      <w:rFonts w:hAnsi="Times New Roman"/>
                      <w:szCs w:val="21"/>
                    </w:rPr>
                  </w:pPr>
                </w:p>
              </w:tc>
              <w:tc>
                <w:tcPr>
                  <w:tcW w:w="4697" w:type="dxa"/>
                  <w:tcMar>
                    <w:top w:w="57" w:type="dxa"/>
                    <w:bottom w:w="57" w:type="dxa"/>
                  </w:tcMar>
                  <w:vAlign w:val="center"/>
                </w:tcPr>
                <w:p>
                  <w:pPr>
                    <w:pStyle w:val="87"/>
                    <w:spacing w:line="360" w:lineRule="auto"/>
                    <w:rPr>
                      <w:rFonts w:hAnsi="Times New Roman"/>
                      <w:szCs w:val="21"/>
                    </w:rPr>
                  </w:pPr>
                  <w:r>
                    <w:rPr>
                      <w:rFonts w:hAnsi="Times New Roman"/>
                      <w:szCs w:val="21"/>
                    </w:rPr>
                    <w:t>严格建设项目取水许可审批，对取用水总量已达到或超过控制指标的地区，暂停审批其建设项目新增取水许可；对取用水总量接近控制指标的地区，限制审批新增取水，逐步实现区域水资源供需平衡</w:t>
                  </w:r>
                </w:p>
              </w:tc>
              <w:tc>
                <w:tcPr>
                  <w:tcW w:w="2180" w:type="dxa"/>
                  <w:tcMar>
                    <w:top w:w="57" w:type="dxa"/>
                    <w:bottom w:w="57" w:type="dxa"/>
                  </w:tcMar>
                  <w:vAlign w:val="center"/>
                </w:tcPr>
                <w:p>
                  <w:pPr>
                    <w:pStyle w:val="87"/>
                    <w:spacing w:line="360" w:lineRule="auto"/>
                    <w:rPr>
                      <w:rFonts w:hAnsi="Times New Roman"/>
                      <w:szCs w:val="21"/>
                    </w:rPr>
                  </w:pPr>
                  <w:r>
                    <w:rPr>
                      <w:rFonts w:hAnsi="Times New Roman"/>
                      <w:szCs w:val="21"/>
                    </w:rPr>
                    <w:t>本项目用水</w:t>
                  </w:r>
                  <w:r>
                    <w:rPr>
                      <w:rFonts w:hint="eastAsia" w:hAnsi="Times New Roman"/>
                      <w:szCs w:val="21"/>
                    </w:rPr>
                    <w:t>为地下潜水做为水源，具备取水许可</w:t>
                  </w:r>
                </w:p>
              </w:tc>
              <w:tc>
                <w:tcPr>
                  <w:tcW w:w="897" w:type="dxa"/>
                  <w:vAlign w:val="center"/>
                </w:tcPr>
                <w:p>
                  <w:pPr>
                    <w:pStyle w:val="87"/>
                    <w:spacing w:line="360" w:lineRule="auto"/>
                    <w:rPr>
                      <w:rFonts w:hAnsi="Times New Roman"/>
                      <w:szCs w:val="21"/>
                    </w:rPr>
                  </w:pPr>
                  <w:r>
                    <w:rPr>
                      <w:rFonts w:hAnsi="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28" w:type="dxa"/>
                  <w:bottom w:w="57" w:type="dxa"/>
                  <w:right w:w="28" w:type="dxa"/>
                </w:tblCellMar>
              </w:tblPrEx>
              <w:trPr>
                <w:trHeight w:val="340" w:hRule="atLeast"/>
                <w:jc w:val="center"/>
              </w:trPr>
              <w:tc>
                <w:tcPr>
                  <w:tcW w:w="936" w:type="dxa"/>
                  <w:vMerge w:val="continue"/>
                  <w:vAlign w:val="center"/>
                </w:tcPr>
                <w:p>
                  <w:pPr>
                    <w:pStyle w:val="87"/>
                    <w:spacing w:line="360" w:lineRule="auto"/>
                    <w:rPr>
                      <w:rFonts w:hAnsi="Times New Roman"/>
                      <w:szCs w:val="21"/>
                    </w:rPr>
                  </w:pPr>
                </w:p>
              </w:tc>
              <w:tc>
                <w:tcPr>
                  <w:tcW w:w="4697" w:type="dxa"/>
                  <w:tcMar>
                    <w:top w:w="57" w:type="dxa"/>
                    <w:bottom w:w="57" w:type="dxa"/>
                  </w:tcMar>
                  <w:vAlign w:val="center"/>
                </w:tcPr>
                <w:p>
                  <w:pPr>
                    <w:pStyle w:val="87"/>
                    <w:spacing w:line="360" w:lineRule="auto"/>
                    <w:rPr>
                      <w:rFonts w:hAnsi="Times New Roman"/>
                      <w:szCs w:val="21"/>
                    </w:rPr>
                  </w:pPr>
                  <w:r>
                    <w:rPr>
                      <w:rFonts w:hAnsi="Times New Roman"/>
                      <w:szCs w:val="21"/>
                    </w:rPr>
                    <w:t>严格控制地下水超采。在唐山、廊坊、保定、沧州、衡水、邢台、邯郸等地面沉降、地裂缝、岩溶塌陷等地质灾害易发区开发利用地下水，应进行地质灾害危险性评估。严格控制深层承压水开采，开采矿泉水、地热水和建设地下水源热泵系统应进行建设项目水资源论证，严格实行取水许可和地下水采矿许可。未经批准和公共供水管网覆盖范围内的自备水井，于2016年底前一律予以关闭</w:t>
                  </w:r>
                </w:p>
              </w:tc>
              <w:tc>
                <w:tcPr>
                  <w:tcW w:w="2180" w:type="dxa"/>
                  <w:tcMar>
                    <w:top w:w="57" w:type="dxa"/>
                    <w:bottom w:w="57" w:type="dxa"/>
                  </w:tcMar>
                  <w:vAlign w:val="center"/>
                </w:tcPr>
                <w:p>
                  <w:pPr>
                    <w:pStyle w:val="87"/>
                    <w:spacing w:line="360" w:lineRule="auto"/>
                    <w:rPr>
                      <w:rFonts w:hAnsi="Times New Roman"/>
                      <w:szCs w:val="21"/>
                    </w:rPr>
                  </w:pPr>
                  <w:r>
                    <w:rPr>
                      <w:rFonts w:hAnsi="Times New Roman"/>
                      <w:szCs w:val="21"/>
                    </w:rPr>
                    <w:t>本项目用水</w:t>
                  </w:r>
                  <w:r>
                    <w:rPr>
                      <w:rFonts w:hint="eastAsia" w:hAnsi="Times New Roman"/>
                      <w:szCs w:val="21"/>
                    </w:rPr>
                    <w:t>为地下潜水做为水源，具备取水许可</w:t>
                  </w:r>
                </w:p>
              </w:tc>
              <w:tc>
                <w:tcPr>
                  <w:tcW w:w="897" w:type="dxa"/>
                  <w:vAlign w:val="center"/>
                </w:tcPr>
                <w:p>
                  <w:pPr>
                    <w:pStyle w:val="87"/>
                    <w:spacing w:line="360" w:lineRule="auto"/>
                    <w:rPr>
                      <w:rFonts w:hAnsi="Times New Roman"/>
                      <w:szCs w:val="21"/>
                    </w:rPr>
                  </w:pPr>
                  <w:r>
                    <w:rPr>
                      <w:rFonts w:hAnsi="Times New Roman"/>
                      <w:szCs w:val="21"/>
                    </w:rPr>
                    <w:t>符合</w:t>
                  </w:r>
                </w:p>
              </w:tc>
            </w:tr>
          </w:tbl>
          <w:p>
            <w:pPr>
              <w:spacing w:line="360" w:lineRule="auto"/>
              <w:ind w:firstLine="480" w:firstLineChars="200"/>
              <w:rPr>
                <w:sz w:val="24"/>
                <w:szCs w:val="24"/>
              </w:rPr>
            </w:pPr>
            <w:r>
              <w:rPr>
                <w:sz w:val="24"/>
                <w:szCs w:val="24"/>
              </w:rPr>
              <w:t>由</w:t>
            </w:r>
            <w:r>
              <w:rPr>
                <w:rFonts w:hint="eastAsia"/>
                <w:sz w:val="24"/>
                <w:szCs w:val="24"/>
              </w:rPr>
              <w:t>上表</w:t>
            </w:r>
            <w:r>
              <w:rPr>
                <w:sz w:val="24"/>
                <w:szCs w:val="24"/>
              </w:rPr>
              <w:t>可知，本项目符合《国务院关于印发水污染防治行动计划的通知》（国发[2015]17号）和《河北省水污染防治工作方案》中相关要求。</w:t>
            </w:r>
          </w:p>
          <w:p>
            <w:pPr>
              <w:spacing w:line="360" w:lineRule="auto"/>
              <w:ind w:firstLine="480" w:firstLineChars="200"/>
              <w:rPr>
                <w:sz w:val="24"/>
                <w:szCs w:val="24"/>
              </w:rPr>
            </w:pPr>
            <w:r>
              <w:rPr>
                <w:rFonts w:hint="eastAsia"/>
                <w:sz w:val="24"/>
                <w:szCs w:val="24"/>
              </w:rPr>
              <w:t>（3）</w:t>
            </w:r>
            <w:r>
              <w:rPr>
                <w:sz w:val="24"/>
                <w:szCs w:val="24"/>
              </w:rPr>
              <w:t>与“三线一单”符合性分析</w:t>
            </w:r>
          </w:p>
          <w:p>
            <w:pPr>
              <w:autoSpaceDE w:val="0"/>
              <w:autoSpaceDN w:val="0"/>
              <w:spacing w:line="360" w:lineRule="auto"/>
              <w:jc w:val="center"/>
              <w:textAlignment w:val="auto"/>
              <w:rPr>
                <w:sz w:val="24"/>
                <w:szCs w:val="24"/>
              </w:rPr>
            </w:pPr>
            <w:r>
              <w:rPr>
                <w:sz w:val="24"/>
                <w:szCs w:val="24"/>
              </w:rPr>
              <w:t>表11 本项目与“三线一单”符合性分析</w:t>
            </w:r>
          </w:p>
          <w:tbl>
            <w:tblPr>
              <w:tblStyle w:val="27"/>
              <w:tblW w:w="87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4435"/>
              <w:gridCol w:w="2759"/>
              <w:gridCol w:w="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52" w:type="dxa"/>
                  <w:tcMar>
                    <w:top w:w="0" w:type="dxa"/>
                    <w:left w:w="0" w:type="dxa"/>
                    <w:bottom w:w="0" w:type="dxa"/>
                    <w:right w:w="0" w:type="dxa"/>
                  </w:tcMar>
                  <w:vAlign w:val="center"/>
                </w:tcPr>
                <w:p>
                  <w:pPr>
                    <w:pStyle w:val="87"/>
                    <w:spacing w:line="360" w:lineRule="auto"/>
                    <w:rPr>
                      <w:rFonts w:hAnsi="Times New Roman"/>
                      <w:b/>
                      <w:szCs w:val="21"/>
                    </w:rPr>
                  </w:pPr>
                  <w:r>
                    <w:rPr>
                      <w:rFonts w:hint="eastAsia" w:hAnsi="Times New Roman"/>
                      <w:b/>
                      <w:szCs w:val="21"/>
                    </w:rPr>
                    <w:t>项目</w:t>
                  </w:r>
                </w:p>
              </w:tc>
              <w:tc>
                <w:tcPr>
                  <w:tcW w:w="4435" w:type="dxa"/>
                  <w:tcMar>
                    <w:top w:w="0" w:type="dxa"/>
                    <w:left w:w="0" w:type="dxa"/>
                    <w:bottom w:w="0" w:type="dxa"/>
                    <w:right w:w="0" w:type="dxa"/>
                  </w:tcMar>
                  <w:vAlign w:val="center"/>
                </w:tcPr>
                <w:p>
                  <w:pPr>
                    <w:pStyle w:val="87"/>
                    <w:spacing w:line="360" w:lineRule="auto"/>
                    <w:rPr>
                      <w:rFonts w:hAnsi="Times New Roman"/>
                      <w:b/>
                      <w:szCs w:val="21"/>
                    </w:rPr>
                  </w:pPr>
                  <w:r>
                    <w:rPr>
                      <w:rFonts w:hAnsi="Times New Roman"/>
                      <w:b/>
                      <w:szCs w:val="21"/>
                    </w:rPr>
                    <w:t>分析内容</w:t>
                  </w:r>
                </w:p>
              </w:tc>
              <w:tc>
                <w:tcPr>
                  <w:tcW w:w="2759" w:type="dxa"/>
                  <w:tcMar>
                    <w:top w:w="0" w:type="dxa"/>
                    <w:left w:w="0" w:type="dxa"/>
                    <w:bottom w:w="0" w:type="dxa"/>
                    <w:right w:w="0" w:type="dxa"/>
                  </w:tcMar>
                  <w:vAlign w:val="center"/>
                </w:tcPr>
                <w:p>
                  <w:pPr>
                    <w:pStyle w:val="87"/>
                    <w:spacing w:line="360" w:lineRule="auto"/>
                    <w:rPr>
                      <w:rFonts w:hAnsi="Times New Roman"/>
                      <w:b/>
                      <w:szCs w:val="21"/>
                    </w:rPr>
                  </w:pPr>
                  <w:r>
                    <w:rPr>
                      <w:rFonts w:hAnsi="Times New Roman"/>
                      <w:b/>
                      <w:szCs w:val="21"/>
                    </w:rPr>
                    <w:t>该企业情况</w:t>
                  </w:r>
                </w:p>
              </w:tc>
              <w:tc>
                <w:tcPr>
                  <w:tcW w:w="664" w:type="dxa"/>
                  <w:tcMar>
                    <w:top w:w="0" w:type="dxa"/>
                    <w:left w:w="0" w:type="dxa"/>
                    <w:bottom w:w="0" w:type="dxa"/>
                    <w:right w:w="0" w:type="dxa"/>
                  </w:tcMar>
                  <w:vAlign w:val="center"/>
                </w:tcPr>
                <w:p>
                  <w:pPr>
                    <w:pStyle w:val="87"/>
                    <w:spacing w:line="360" w:lineRule="auto"/>
                    <w:rPr>
                      <w:rFonts w:hAnsi="Times New Roman"/>
                      <w:b/>
                      <w:szCs w:val="21"/>
                    </w:rPr>
                  </w:pPr>
                  <w:r>
                    <w:rPr>
                      <w:rFonts w:hAnsi="Times New Roman"/>
                      <w:b/>
                      <w:szCs w:val="21"/>
                    </w:rPr>
                    <w:t>评估结果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2" w:type="dxa"/>
                  <w:tcMar>
                    <w:top w:w="0" w:type="dxa"/>
                    <w:left w:w="0" w:type="dxa"/>
                    <w:bottom w:w="0" w:type="dxa"/>
                    <w:right w:w="0" w:type="dxa"/>
                  </w:tcMar>
                  <w:vAlign w:val="center"/>
                </w:tcPr>
                <w:p>
                  <w:pPr>
                    <w:pStyle w:val="87"/>
                    <w:spacing w:line="360" w:lineRule="auto"/>
                    <w:rPr>
                      <w:rFonts w:hAnsi="Times New Roman"/>
                      <w:szCs w:val="21"/>
                    </w:rPr>
                  </w:pPr>
                  <w:r>
                    <w:rPr>
                      <w:rFonts w:hAnsi="Times New Roman"/>
                      <w:szCs w:val="21"/>
                    </w:rPr>
                    <w:t>生态保护红线</w:t>
                  </w:r>
                </w:p>
              </w:tc>
              <w:tc>
                <w:tcPr>
                  <w:tcW w:w="4435" w:type="dxa"/>
                  <w:tcMar>
                    <w:top w:w="0" w:type="dxa"/>
                    <w:left w:w="0" w:type="dxa"/>
                    <w:bottom w:w="0" w:type="dxa"/>
                    <w:right w:w="0" w:type="dxa"/>
                  </w:tcMar>
                  <w:vAlign w:val="center"/>
                </w:tcPr>
                <w:p>
                  <w:pPr>
                    <w:pStyle w:val="87"/>
                    <w:spacing w:line="360" w:lineRule="auto"/>
                    <w:rPr>
                      <w:rFonts w:hAnsi="Times New Roman"/>
                      <w:szCs w:val="21"/>
                    </w:rPr>
                  </w:pPr>
                  <w:r>
                    <w:rPr>
                      <w:rFonts w:hAnsi="Times New Roman"/>
                      <w:szCs w:val="21"/>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2759" w:type="dxa"/>
                  <w:tcMar>
                    <w:top w:w="0" w:type="dxa"/>
                    <w:left w:w="0" w:type="dxa"/>
                    <w:bottom w:w="0" w:type="dxa"/>
                    <w:right w:w="0" w:type="dxa"/>
                  </w:tcMar>
                  <w:vAlign w:val="center"/>
                </w:tcPr>
                <w:p>
                  <w:pPr>
                    <w:pStyle w:val="87"/>
                    <w:spacing w:line="360" w:lineRule="auto"/>
                    <w:rPr>
                      <w:rFonts w:hAnsi="Times New Roman"/>
                      <w:szCs w:val="21"/>
                    </w:rPr>
                  </w:pPr>
                  <w:r>
                    <w:rPr>
                      <w:rFonts w:hint="eastAsia" w:hAnsi="Times New Roman"/>
                      <w:szCs w:val="21"/>
                    </w:rPr>
                    <w:t>根据《河北省生态保护红线》，鹰手营子矿区不在承德市的重点生态功能区、生态环境敏感脆弱区以及禁止开发区等各生态保护红线内，园区规划范围内无生态保护红线区</w:t>
                  </w:r>
                </w:p>
              </w:tc>
              <w:tc>
                <w:tcPr>
                  <w:tcW w:w="664" w:type="dxa"/>
                  <w:tcMar>
                    <w:top w:w="0" w:type="dxa"/>
                    <w:left w:w="0" w:type="dxa"/>
                    <w:bottom w:w="0" w:type="dxa"/>
                    <w:right w:w="0" w:type="dxa"/>
                  </w:tcMar>
                  <w:vAlign w:val="center"/>
                </w:tcPr>
                <w:p>
                  <w:pPr>
                    <w:pStyle w:val="87"/>
                    <w:spacing w:line="360" w:lineRule="auto"/>
                    <w:rPr>
                      <w:rFonts w:hAnsi="Times New Roman"/>
                      <w:szCs w:val="21"/>
                    </w:rPr>
                  </w:pPr>
                  <w:r>
                    <w:rPr>
                      <w:rFonts w:hAnsi="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2" w:type="dxa"/>
                  <w:tcMar>
                    <w:top w:w="0" w:type="dxa"/>
                    <w:left w:w="0" w:type="dxa"/>
                    <w:bottom w:w="0" w:type="dxa"/>
                    <w:right w:w="0" w:type="dxa"/>
                  </w:tcMar>
                  <w:vAlign w:val="center"/>
                </w:tcPr>
                <w:p>
                  <w:pPr>
                    <w:pStyle w:val="87"/>
                    <w:spacing w:line="360" w:lineRule="auto"/>
                    <w:rPr>
                      <w:rFonts w:hAnsi="Times New Roman"/>
                      <w:szCs w:val="21"/>
                    </w:rPr>
                  </w:pPr>
                  <w:r>
                    <w:rPr>
                      <w:rFonts w:hAnsi="Times New Roman"/>
                      <w:szCs w:val="21"/>
                    </w:rPr>
                    <w:t>环境质量底线</w:t>
                  </w:r>
                </w:p>
              </w:tc>
              <w:tc>
                <w:tcPr>
                  <w:tcW w:w="4435" w:type="dxa"/>
                  <w:tcMar>
                    <w:top w:w="0" w:type="dxa"/>
                    <w:left w:w="0" w:type="dxa"/>
                    <w:bottom w:w="0" w:type="dxa"/>
                    <w:right w:w="0" w:type="dxa"/>
                  </w:tcMar>
                  <w:vAlign w:val="center"/>
                </w:tcPr>
                <w:p>
                  <w:pPr>
                    <w:pStyle w:val="87"/>
                    <w:spacing w:line="360" w:lineRule="auto"/>
                    <w:rPr>
                      <w:rFonts w:hAnsi="Times New Roman"/>
                      <w:szCs w:val="21"/>
                    </w:rPr>
                  </w:pPr>
                  <w:r>
                    <w:rPr>
                      <w:rFonts w:hAnsi="Times New Roman"/>
                      <w:szCs w:val="21"/>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2759" w:type="dxa"/>
                  <w:tcMar>
                    <w:top w:w="0" w:type="dxa"/>
                    <w:left w:w="0" w:type="dxa"/>
                    <w:bottom w:w="0" w:type="dxa"/>
                    <w:right w:w="0" w:type="dxa"/>
                  </w:tcMar>
                  <w:vAlign w:val="center"/>
                </w:tcPr>
                <w:p>
                  <w:pPr>
                    <w:pStyle w:val="87"/>
                    <w:spacing w:line="360" w:lineRule="auto"/>
                    <w:rPr>
                      <w:rFonts w:hAnsi="Times New Roman"/>
                      <w:szCs w:val="21"/>
                    </w:rPr>
                  </w:pPr>
                  <w:r>
                    <w:rPr>
                      <w:rFonts w:hAnsi="Times New Roman"/>
                      <w:szCs w:val="21"/>
                    </w:rPr>
                    <w:t>通过分析预测，各废气污染物均能达标排放；</w:t>
                  </w:r>
                  <w:r>
                    <w:rPr>
                      <w:rFonts w:hint="eastAsia" w:hAnsi="Times New Roman"/>
                      <w:szCs w:val="21"/>
                    </w:rPr>
                    <w:t>项目废</w:t>
                  </w:r>
                  <w:r>
                    <w:rPr>
                      <w:rFonts w:hAnsi="Times New Roman"/>
                      <w:szCs w:val="21"/>
                    </w:rPr>
                    <w:t>水</w:t>
                  </w:r>
                  <w:r>
                    <w:rPr>
                      <w:rFonts w:hint="eastAsia" w:hAnsi="Times New Roman"/>
                      <w:szCs w:val="21"/>
                    </w:rPr>
                    <w:t>存放至污水收集池，定期使用专用运输车运去垃圾填埋场渗滤液处理站处理后达标排放；</w:t>
                  </w:r>
                  <w:r>
                    <w:rPr>
                      <w:rFonts w:hAnsi="Times New Roman"/>
                      <w:szCs w:val="21"/>
                    </w:rPr>
                    <w:t>固体废物均妥善处理，不会产生二次污染。本项目产生的污染物采取相应措施后经预测满足环境质量标准，符合环境质量底线的要求</w:t>
                  </w:r>
                </w:p>
              </w:tc>
              <w:tc>
                <w:tcPr>
                  <w:tcW w:w="664" w:type="dxa"/>
                  <w:tcMar>
                    <w:top w:w="0" w:type="dxa"/>
                    <w:left w:w="0" w:type="dxa"/>
                    <w:bottom w:w="0" w:type="dxa"/>
                    <w:right w:w="0" w:type="dxa"/>
                  </w:tcMar>
                  <w:vAlign w:val="center"/>
                </w:tcPr>
                <w:p>
                  <w:pPr>
                    <w:pStyle w:val="87"/>
                    <w:spacing w:line="360" w:lineRule="auto"/>
                    <w:rPr>
                      <w:rFonts w:hAnsi="Times New Roman"/>
                      <w:szCs w:val="21"/>
                    </w:rPr>
                  </w:pPr>
                  <w:r>
                    <w:rPr>
                      <w:rFonts w:hAnsi="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2" w:type="dxa"/>
                  <w:tcMar>
                    <w:top w:w="0" w:type="dxa"/>
                    <w:left w:w="0" w:type="dxa"/>
                    <w:bottom w:w="0" w:type="dxa"/>
                    <w:right w:w="0" w:type="dxa"/>
                  </w:tcMar>
                  <w:vAlign w:val="center"/>
                </w:tcPr>
                <w:p>
                  <w:pPr>
                    <w:pStyle w:val="87"/>
                    <w:spacing w:line="360" w:lineRule="auto"/>
                    <w:rPr>
                      <w:rFonts w:hAnsi="Times New Roman"/>
                      <w:szCs w:val="21"/>
                    </w:rPr>
                  </w:pPr>
                  <w:r>
                    <w:rPr>
                      <w:rFonts w:hAnsi="Times New Roman"/>
                      <w:szCs w:val="21"/>
                    </w:rPr>
                    <w:t>资源利用上线</w:t>
                  </w:r>
                </w:p>
              </w:tc>
              <w:tc>
                <w:tcPr>
                  <w:tcW w:w="4435" w:type="dxa"/>
                  <w:tcMar>
                    <w:top w:w="0" w:type="dxa"/>
                    <w:left w:w="0" w:type="dxa"/>
                    <w:bottom w:w="0" w:type="dxa"/>
                    <w:right w:w="0" w:type="dxa"/>
                  </w:tcMar>
                  <w:vAlign w:val="center"/>
                </w:tcPr>
                <w:p>
                  <w:pPr>
                    <w:pStyle w:val="87"/>
                    <w:spacing w:line="360" w:lineRule="auto"/>
                    <w:rPr>
                      <w:rFonts w:hAnsi="Times New Roman"/>
                      <w:szCs w:val="21"/>
                    </w:rPr>
                  </w:pPr>
                  <w:r>
                    <w:rPr>
                      <w:rFonts w:hAnsi="Times New Roman"/>
                      <w:szCs w:val="21"/>
                    </w:rPr>
                    <w:t>资源是环境的载体，资源利用上线是各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tc>
              <w:tc>
                <w:tcPr>
                  <w:tcW w:w="2759" w:type="dxa"/>
                  <w:tcMar>
                    <w:top w:w="0" w:type="dxa"/>
                    <w:left w:w="0" w:type="dxa"/>
                    <w:bottom w:w="0" w:type="dxa"/>
                    <w:right w:w="0" w:type="dxa"/>
                  </w:tcMar>
                  <w:vAlign w:val="center"/>
                </w:tcPr>
                <w:p>
                  <w:pPr>
                    <w:pStyle w:val="87"/>
                    <w:spacing w:line="360" w:lineRule="auto"/>
                    <w:rPr>
                      <w:rFonts w:hAnsi="Times New Roman"/>
                      <w:szCs w:val="21"/>
                    </w:rPr>
                  </w:pPr>
                  <w:r>
                    <w:rPr>
                      <w:rFonts w:hint="eastAsia" w:hAnsi="Times New Roman"/>
                      <w:bCs/>
                      <w:szCs w:val="21"/>
                    </w:rPr>
                    <w:t>本项目为垃圾转运工程，资源及能源使用率较低，污染物产生量较小，符合</w:t>
                  </w:r>
                  <w:r>
                    <w:rPr>
                      <w:rFonts w:hAnsi="Times New Roman"/>
                      <w:bCs/>
                      <w:szCs w:val="21"/>
                    </w:rPr>
                    <w:t>资源利用上线要求</w:t>
                  </w:r>
                </w:p>
              </w:tc>
              <w:tc>
                <w:tcPr>
                  <w:tcW w:w="664" w:type="dxa"/>
                  <w:tcMar>
                    <w:top w:w="0" w:type="dxa"/>
                    <w:left w:w="0" w:type="dxa"/>
                    <w:bottom w:w="0" w:type="dxa"/>
                    <w:right w:w="0" w:type="dxa"/>
                  </w:tcMar>
                  <w:vAlign w:val="center"/>
                </w:tcPr>
                <w:p>
                  <w:pPr>
                    <w:pStyle w:val="87"/>
                    <w:spacing w:line="360" w:lineRule="auto"/>
                    <w:rPr>
                      <w:rFonts w:hAnsi="Times New Roman"/>
                      <w:szCs w:val="21"/>
                    </w:rPr>
                  </w:pPr>
                  <w:r>
                    <w:rPr>
                      <w:rFonts w:hint="eastAsia" w:hAnsi="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2" w:type="dxa"/>
                  <w:tcMar>
                    <w:top w:w="0" w:type="dxa"/>
                    <w:left w:w="0" w:type="dxa"/>
                    <w:bottom w:w="0" w:type="dxa"/>
                    <w:right w:w="0" w:type="dxa"/>
                  </w:tcMar>
                  <w:vAlign w:val="center"/>
                </w:tcPr>
                <w:p>
                  <w:pPr>
                    <w:pStyle w:val="87"/>
                    <w:spacing w:line="360" w:lineRule="auto"/>
                    <w:rPr>
                      <w:rFonts w:hAnsi="Times New Roman"/>
                      <w:szCs w:val="21"/>
                    </w:rPr>
                  </w:pPr>
                  <w:r>
                    <w:rPr>
                      <w:rFonts w:hAnsi="Times New Roman"/>
                      <w:szCs w:val="21"/>
                    </w:rPr>
                    <w:t>负面清单</w:t>
                  </w:r>
                </w:p>
              </w:tc>
              <w:tc>
                <w:tcPr>
                  <w:tcW w:w="4435" w:type="dxa"/>
                  <w:tcMar>
                    <w:top w:w="0" w:type="dxa"/>
                    <w:left w:w="0" w:type="dxa"/>
                    <w:bottom w:w="0" w:type="dxa"/>
                    <w:right w:w="0" w:type="dxa"/>
                  </w:tcMar>
                  <w:vAlign w:val="center"/>
                </w:tcPr>
                <w:p>
                  <w:pPr>
                    <w:pStyle w:val="87"/>
                    <w:spacing w:line="360" w:lineRule="auto"/>
                    <w:rPr>
                      <w:rFonts w:hAnsi="Times New Roman"/>
                      <w:szCs w:val="21"/>
                    </w:rPr>
                  </w:pPr>
                  <w:r>
                    <w:rPr>
                      <w:rFonts w:hAnsi="Times New Roman"/>
                      <w:szCs w:val="21"/>
                    </w:rPr>
                    <w:t>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tc>
              <w:tc>
                <w:tcPr>
                  <w:tcW w:w="2759" w:type="dxa"/>
                  <w:tcMar>
                    <w:top w:w="0" w:type="dxa"/>
                    <w:left w:w="0" w:type="dxa"/>
                    <w:bottom w:w="0" w:type="dxa"/>
                    <w:right w:w="0" w:type="dxa"/>
                  </w:tcMar>
                  <w:vAlign w:val="center"/>
                </w:tcPr>
                <w:p>
                  <w:pPr>
                    <w:pStyle w:val="87"/>
                    <w:spacing w:line="360" w:lineRule="auto"/>
                    <w:rPr>
                      <w:rFonts w:hAnsi="Times New Roman"/>
                      <w:szCs w:val="21"/>
                    </w:rPr>
                  </w:pPr>
                  <w:r>
                    <w:rPr>
                      <w:rFonts w:hAnsi="Times New Roman"/>
                      <w:szCs w:val="21"/>
                    </w:rPr>
                    <w:t>本项目</w:t>
                  </w:r>
                  <w:r>
                    <w:rPr>
                      <w:rFonts w:hint="eastAsia" w:hAnsi="Times New Roman"/>
                      <w:szCs w:val="21"/>
                    </w:rPr>
                    <w:t>为公共设施管理类项目，不在</w:t>
                  </w:r>
                  <w:r>
                    <w:rPr>
                      <w:rFonts w:hAnsi="Times New Roman"/>
                      <w:szCs w:val="21"/>
                    </w:rPr>
                    <w:t>环境准入负面清单</w:t>
                  </w:r>
                  <w:r>
                    <w:rPr>
                      <w:rFonts w:hint="eastAsia" w:hAnsi="Times New Roman"/>
                      <w:szCs w:val="21"/>
                    </w:rPr>
                    <w:t>内</w:t>
                  </w:r>
                </w:p>
              </w:tc>
              <w:tc>
                <w:tcPr>
                  <w:tcW w:w="664" w:type="dxa"/>
                  <w:tcMar>
                    <w:top w:w="0" w:type="dxa"/>
                    <w:left w:w="0" w:type="dxa"/>
                    <w:bottom w:w="0" w:type="dxa"/>
                    <w:right w:w="0" w:type="dxa"/>
                  </w:tcMar>
                  <w:vAlign w:val="center"/>
                </w:tcPr>
                <w:p>
                  <w:pPr>
                    <w:pStyle w:val="87"/>
                    <w:spacing w:line="360" w:lineRule="auto"/>
                    <w:rPr>
                      <w:rFonts w:hAnsi="Times New Roman"/>
                      <w:szCs w:val="21"/>
                    </w:rPr>
                  </w:pPr>
                  <w:r>
                    <w:rPr>
                      <w:rFonts w:hAnsi="Times New Roman"/>
                      <w:szCs w:val="21"/>
                    </w:rPr>
                    <w:t>符合</w:t>
                  </w:r>
                </w:p>
              </w:tc>
            </w:tr>
          </w:tbl>
          <w:p>
            <w:pPr>
              <w:spacing w:line="360" w:lineRule="auto"/>
              <w:ind w:firstLine="480" w:firstLineChars="200"/>
              <w:rPr>
                <w:sz w:val="24"/>
                <w:szCs w:val="24"/>
              </w:rPr>
            </w:pPr>
            <w:r>
              <w:rPr>
                <w:sz w:val="24"/>
                <w:szCs w:val="24"/>
              </w:rPr>
              <w:t>由</w:t>
            </w:r>
            <w:r>
              <w:rPr>
                <w:rFonts w:hint="eastAsia"/>
                <w:sz w:val="24"/>
                <w:szCs w:val="24"/>
              </w:rPr>
              <w:t>上表</w:t>
            </w:r>
            <w:r>
              <w:rPr>
                <w:sz w:val="24"/>
                <w:szCs w:val="24"/>
              </w:rPr>
              <w:t>可知，本项目符合《关于以改善环境质量为核心加强环境影响评价管理的通知》（环环评[2016]150号）的“三线一单”环境管理要求。</w:t>
            </w:r>
          </w:p>
          <w:p>
            <w:pPr>
              <w:spacing w:line="360" w:lineRule="auto"/>
              <w:ind w:firstLine="480" w:firstLineChars="200"/>
              <w:rPr>
                <w:sz w:val="24"/>
                <w:szCs w:val="24"/>
              </w:rPr>
            </w:pPr>
            <w:r>
              <w:rPr>
                <w:rFonts w:hint="eastAsia"/>
                <w:sz w:val="24"/>
                <w:szCs w:val="24"/>
              </w:rPr>
              <w:t>（4）</w:t>
            </w:r>
            <w:r>
              <w:rPr>
                <w:sz w:val="24"/>
                <w:szCs w:val="24"/>
              </w:rPr>
              <w:t>与土壤污染防治行动计划和净土计划相符性</w:t>
            </w:r>
          </w:p>
          <w:p>
            <w:pPr>
              <w:spacing w:line="360" w:lineRule="auto"/>
              <w:jc w:val="center"/>
              <w:rPr>
                <w:sz w:val="24"/>
                <w:szCs w:val="24"/>
              </w:rPr>
            </w:pPr>
            <w:r>
              <w:rPr>
                <w:sz w:val="24"/>
                <w:szCs w:val="24"/>
              </w:rPr>
              <w:t>表12 本项目与土壤污染防治行动计划和净土计划相符性对照表</w:t>
            </w:r>
          </w:p>
          <w:tbl>
            <w:tblPr>
              <w:tblStyle w:val="27"/>
              <w:tblW w:w="87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6"/>
              <w:gridCol w:w="560"/>
              <w:gridCol w:w="4136"/>
              <w:gridCol w:w="1802"/>
              <w:gridCol w:w="1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1176" w:type="dxa"/>
                  <w:vAlign w:val="center"/>
                </w:tcPr>
                <w:p>
                  <w:pPr>
                    <w:pStyle w:val="87"/>
                    <w:spacing w:line="360" w:lineRule="auto"/>
                    <w:rPr>
                      <w:rFonts w:hAnsi="Times New Roman"/>
                      <w:b/>
                      <w:szCs w:val="21"/>
                    </w:rPr>
                  </w:pPr>
                  <w:r>
                    <w:rPr>
                      <w:rFonts w:hAnsi="Times New Roman"/>
                      <w:b/>
                      <w:szCs w:val="21"/>
                    </w:rPr>
                    <w:t>文件名称</w:t>
                  </w:r>
                </w:p>
              </w:tc>
              <w:tc>
                <w:tcPr>
                  <w:tcW w:w="560" w:type="dxa"/>
                  <w:vAlign w:val="center"/>
                </w:tcPr>
                <w:p>
                  <w:pPr>
                    <w:pStyle w:val="87"/>
                    <w:spacing w:line="360" w:lineRule="auto"/>
                    <w:rPr>
                      <w:rFonts w:hAnsi="Times New Roman"/>
                      <w:b/>
                      <w:szCs w:val="21"/>
                    </w:rPr>
                  </w:pPr>
                  <w:r>
                    <w:rPr>
                      <w:rFonts w:hAnsi="Times New Roman"/>
                      <w:b/>
                      <w:szCs w:val="21"/>
                    </w:rPr>
                    <w:t>序号</w:t>
                  </w:r>
                </w:p>
              </w:tc>
              <w:tc>
                <w:tcPr>
                  <w:tcW w:w="4136" w:type="dxa"/>
                  <w:vAlign w:val="center"/>
                </w:tcPr>
                <w:p>
                  <w:pPr>
                    <w:pStyle w:val="87"/>
                    <w:spacing w:line="360" w:lineRule="auto"/>
                    <w:rPr>
                      <w:rFonts w:hAnsi="Times New Roman"/>
                      <w:b/>
                      <w:szCs w:val="21"/>
                    </w:rPr>
                  </w:pPr>
                  <w:r>
                    <w:rPr>
                      <w:rFonts w:hAnsi="Times New Roman"/>
                      <w:b/>
                      <w:szCs w:val="21"/>
                    </w:rPr>
                    <w:t>与项目有关的条例、条文</w:t>
                  </w:r>
                </w:p>
              </w:tc>
              <w:tc>
                <w:tcPr>
                  <w:tcW w:w="1802" w:type="dxa"/>
                  <w:vAlign w:val="center"/>
                </w:tcPr>
                <w:p>
                  <w:pPr>
                    <w:pStyle w:val="87"/>
                    <w:spacing w:line="360" w:lineRule="auto"/>
                    <w:rPr>
                      <w:rFonts w:hAnsi="Times New Roman"/>
                      <w:b/>
                      <w:szCs w:val="21"/>
                    </w:rPr>
                  </w:pPr>
                  <w:r>
                    <w:rPr>
                      <w:rFonts w:hAnsi="Times New Roman"/>
                      <w:b/>
                      <w:szCs w:val="21"/>
                    </w:rPr>
                    <w:t>本项目</w:t>
                  </w:r>
                </w:p>
              </w:tc>
              <w:tc>
                <w:tcPr>
                  <w:tcW w:w="1036" w:type="dxa"/>
                  <w:vAlign w:val="center"/>
                </w:tcPr>
                <w:p>
                  <w:pPr>
                    <w:pStyle w:val="87"/>
                    <w:spacing w:line="360" w:lineRule="auto"/>
                    <w:rPr>
                      <w:rFonts w:hAnsi="Times New Roman"/>
                      <w:b/>
                      <w:szCs w:val="21"/>
                    </w:rPr>
                  </w:pPr>
                  <w:r>
                    <w:rPr>
                      <w:rFonts w:hAnsi="Times New Roman"/>
                      <w:b/>
                      <w:szCs w:val="21"/>
                    </w:rPr>
                    <w:t>政策</w:t>
                  </w:r>
                </w:p>
                <w:p>
                  <w:pPr>
                    <w:pStyle w:val="87"/>
                    <w:spacing w:line="360" w:lineRule="auto"/>
                    <w:rPr>
                      <w:rFonts w:hAnsi="Times New Roman"/>
                      <w:b/>
                      <w:szCs w:val="21"/>
                    </w:rPr>
                  </w:pPr>
                  <w:r>
                    <w:rPr>
                      <w:rFonts w:hAnsi="Times New Roman"/>
                      <w:b/>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176" w:type="dxa"/>
                  <w:vMerge w:val="restart"/>
                  <w:vAlign w:val="center"/>
                </w:tcPr>
                <w:p>
                  <w:pPr>
                    <w:pStyle w:val="87"/>
                    <w:spacing w:line="360" w:lineRule="auto"/>
                    <w:rPr>
                      <w:rFonts w:hAnsi="Times New Roman"/>
                      <w:szCs w:val="21"/>
                    </w:rPr>
                  </w:pPr>
                  <w:r>
                    <w:rPr>
                      <w:rFonts w:hAnsi="Times New Roman"/>
                      <w:szCs w:val="21"/>
                    </w:rPr>
                    <w:t>国务院关于印发土壤污染防治行动计划的通知</w:t>
                  </w:r>
                </w:p>
                <w:p>
                  <w:pPr>
                    <w:pStyle w:val="87"/>
                    <w:spacing w:line="360" w:lineRule="auto"/>
                    <w:rPr>
                      <w:rFonts w:hAnsi="Times New Roman"/>
                      <w:szCs w:val="21"/>
                    </w:rPr>
                  </w:pPr>
                  <w:r>
                    <w:rPr>
                      <w:rFonts w:hAnsi="Times New Roman"/>
                      <w:szCs w:val="21"/>
                    </w:rPr>
                    <w:t>国发〔2016〕31号</w:t>
                  </w:r>
                </w:p>
              </w:tc>
              <w:tc>
                <w:tcPr>
                  <w:tcW w:w="560" w:type="dxa"/>
                  <w:vAlign w:val="center"/>
                </w:tcPr>
                <w:p>
                  <w:pPr>
                    <w:pStyle w:val="87"/>
                    <w:spacing w:line="360" w:lineRule="auto"/>
                    <w:rPr>
                      <w:rFonts w:hAnsi="Times New Roman"/>
                      <w:szCs w:val="21"/>
                    </w:rPr>
                  </w:pPr>
                  <w:r>
                    <w:rPr>
                      <w:rFonts w:hAnsi="Times New Roman"/>
                      <w:szCs w:val="21"/>
                    </w:rPr>
                    <w:t>1</w:t>
                  </w:r>
                </w:p>
              </w:tc>
              <w:tc>
                <w:tcPr>
                  <w:tcW w:w="4136" w:type="dxa"/>
                  <w:vAlign w:val="center"/>
                </w:tcPr>
                <w:p>
                  <w:pPr>
                    <w:pStyle w:val="87"/>
                    <w:spacing w:line="360" w:lineRule="auto"/>
                    <w:rPr>
                      <w:rFonts w:hAnsi="Times New Roman"/>
                      <w:szCs w:val="21"/>
                    </w:rPr>
                  </w:pPr>
                  <w:r>
                    <w:rPr>
                      <w:rFonts w:hAnsi="Times New Roman"/>
                      <w:szCs w:val="21"/>
                    </w:rPr>
                    <w:t>防控企业污染。严格控制在优先保护类耕地集中区域新建有色金属冶炼、石油加工、化工、焦化、电镀、制革等行业企业，现有相关行业企业要采用新技术、新工艺，加快提标升级改造步伐。</w:t>
                  </w:r>
                </w:p>
              </w:tc>
              <w:tc>
                <w:tcPr>
                  <w:tcW w:w="1802" w:type="dxa"/>
                  <w:vAlign w:val="center"/>
                </w:tcPr>
                <w:p>
                  <w:pPr>
                    <w:pStyle w:val="87"/>
                    <w:spacing w:line="360" w:lineRule="auto"/>
                    <w:rPr>
                      <w:rFonts w:hAnsi="Times New Roman"/>
                      <w:szCs w:val="21"/>
                    </w:rPr>
                  </w:pPr>
                  <w:r>
                    <w:rPr>
                      <w:rFonts w:hint="eastAsia" w:hAnsi="Times New Roman"/>
                      <w:szCs w:val="21"/>
                    </w:rPr>
                    <w:t>项目占用地为国有建设用地</w:t>
                  </w:r>
                  <w:r>
                    <w:rPr>
                      <w:rFonts w:hAnsi="Times New Roman"/>
                      <w:szCs w:val="21"/>
                    </w:rPr>
                    <w:t>，不属于优先保护类耕地</w:t>
                  </w:r>
                </w:p>
              </w:tc>
              <w:tc>
                <w:tcPr>
                  <w:tcW w:w="1036" w:type="dxa"/>
                  <w:vAlign w:val="center"/>
                </w:tcPr>
                <w:p>
                  <w:pPr>
                    <w:pStyle w:val="87"/>
                    <w:spacing w:line="360" w:lineRule="auto"/>
                    <w:rPr>
                      <w:rFonts w:hAnsi="Times New Roman"/>
                      <w:szCs w:val="21"/>
                    </w:rPr>
                  </w:pPr>
                  <w:r>
                    <w:rPr>
                      <w:rFonts w:hAnsi="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176" w:type="dxa"/>
                  <w:vMerge w:val="continue"/>
                  <w:vAlign w:val="center"/>
                </w:tcPr>
                <w:p>
                  <w:pPr>
                    <w:pStyle w:val="87"/>
                    <w:spacing w:line="360" w:lineRule="auto"/>
                    <w:rPr>
                      <w:rFonts w:hAnsi="Times New Roman"/>
                      <w:szCs w:val="21"/>
                    </w:rPr>
                  </w:pPr>
                </w:p>
              </w:tc>
              <w:tc>
                <w:tcPr>
                  <w:tcW w:w="560" w:type="dxa"/>
                  <w:vAlign w:val="center"/>
                </w:tcPr>
                <w:p>
                  <w:pPr>
                    <w:pStyle w:val="87"/>
                    <w:spacing w:line="360" w:lineRule="auto"/>
                    <w:rPr>
                      <w:rFonts w:hAnsi="Times New Roman"/>
                      <w:szCs w:val="21"/>
                    </w:rPr>
                  </w:pPr>
                  <w:r>
                    <w:rPr>
                      <w:rFonts w:hAnsi="Times New Roman"/>
                      <w:szCs w:val="21"/>
                    </w:rPr>
                    <w:t>2</w:t>
                  </w:r>
                </w:p>
              </w:tc>
              <w:tc>
                <w:tcPr>
                  <w:tcW w:w="4136" w:type="dxa"/>
                  <w:vAlign w:val="center"/>
                </w:tcPr>
                <w:p>
                  <w:pPr>
                    <w:pStyle w:val="87"/>
                    <w:spacing w:line="360" w:lineRule="auto"/>
                    <w:rPr>
                      <w:rFonts w:hAnsi="Times New Roman"/>
                      <w:szCs w:val="21"/>
                    </w:rPr>
                  </w:pPr>
                  <w:r>
                    <w:rPr>
                      <w:rFonts w:hAnsi="Times New Roman"/>
                      <w:szCs w:val="21"/>
                      <w:shd w:val="clear" w:color="auto" w:fill="FFFFFF"/>
                    </w:rPr>
                    <w:t>分用途明确管理措施。自2017年起，各地要结合土壤污染状况详查情况，根据建设用地土壤环境调查评估结果，逐步建立污染地块名录及其开发利用的负面清单，合理确定土地用途</w:t>
                  </w:r>
                </w:p>
              </w:tc>
              <w:tc>
                <w:tcPr>
                  <w:tcW w:w="1802" w:type="dxa"/>
                  <w:vAlign w:val="center"/>
                </w:tcPr>
                <w:p>
                  <w:pPr>
                    <w:pStyle w:val="87"/>
                    <w:spacing w:line="360" w:lineRule="auto"/>
                    <w:rPr>
                      <w:rFonts w:hAnsi="Times New Roman"/>
                      <w:szCs w:val="21"/>
                    </w:rPr>
                  </w:pPr>
                  <w:r>
                    <w:rPr>
                      <w:rFonts w:hint="eastAsia" w:hAnsi="Times New Roman"/>
                      <w:szCs w:val="21"/>
                    </w:rPr>
                    <w:t>项目占用地为国有建设用地</w:t>
                  </w:r>
                </w:p>
              </w:tc>
              <w:tc>
                <w:tcPr>
                  <w:tcW w:w="1036" w:type="dxa"/>
                  <w:vAlign w:val="center"/>
                </w:tcPr>
                <w:p>
                  <w:pPr>
                    <w:pStyle w:val="87"/>
                    <w:spacing w:line="360" w:lineRule="auto"/>
                    <w:rPr>
                      <w:rFonts w:hAnsi="Times New Roman"/>
                      <w:szCs w:val="21"/>
                    </w:rPr>
                  </w:pPr>
                  <w:r>
                    <w:rPr>
                      <w:rFonts w:hAnsi="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176" w:type="dxa"/>
                  <w:vMerge w:val="continue"/>
                  <w:vAlign w:val="center"/>
                </w:tcPr>
                <w:p>
                  <w:pPr>
                    <w:pStyle w:val="87"/>
                    <w:spacing w:line="360" w:lineRule="auto"/>
                    <w:rPr>
                      <w:rFonts w:hAnsi="Times New Roman"/>
                      <w:szCs w:val="21"/>
                    </w:rPr>
                  </w:pPr>
                </w:p>
              </w:tc>
              <w:tc>
                <w:tcPr>
                  <w:tcW w:w="560" w:type="dxa"/>
                  <w:vAlign w:val="center"/>
                </w:tcPr>
                <w:p>
                  <w:pPr>
                    <w:pStyle w:val="87"/>
                    <w:spacing w:line="360" w:lineRule="auto"/>
                    <w:rPr>
                      <w:rFonts w:hAnsi="Times New Roman"/>
                      <w:szCs w:val="21"/>
                    </w:rPr>
                  </w:pPr>
                  <w:r>
                    <w:rPr>
                      <w:rFonts w:hAnsi="Times New Roman"/>
                      <w:szCs w:val="21"/>
                    </w:rPr>
                    <w:t>3</w:t>
                  </w:r>
                </w:p>
              </w:tc>
              <w:tc>
                <w:tcPr>
                  <w:tcW w:w="4136" w:type="dxa"/>
                  <w:vAlign w:val="center"/>
                </w:tcPr>
                <w:p>
                  <w:pPr>
                    <w:pStyle w:val="87"/>
                    <w:spacing w:line="360" w:lineRule="auto"/>
                    <w:rPr>
                      <w:rFonts w:hAnsi="Times New Roman"/>
                      <w:szCs w:val="21"/>
                    </w:rPr>
                  </w:pPr>
                  <w:r>
                    <w:rPr>
                      <w:rFonts w:hAnsi="Times New Roman"/>
                      <w:szCs w:val="21"/>
                      <w:shd w:val="clear" w:color="auto" w:fill="FFFFFF"/>
                    </w:rPr>
                    <w:t>防范建设用地新增污染。排放重点污染物的建设项目，在开展环境影响评价时，要增加对土壤环境影响的评价内容，并提出防范土壤污染的具体措施；需要建设的土壤污染防治设施，要与主体工程同时设计、同时施工、同时投产使用。</w:t>
                  </w:r>
                </w:p>
              </w:tc>
              <w:tc>
                <w:tcPr>
                  <w:tcW w:w="1802" w:type="dxa"/>
                  <w:vAlign w:val="center"/>
                </w:tcPr>
                <w:p>
                  <w:pPr>
                    <w:pStyle w:val="87"/>
                    <w:spacing w:line="360" w:lineRule="auto"/>
                    <w:rPr>
                      <w:rFonts w:hAnsi="Times New Roman"/>
                      <w:szCs w:val="21"/>
                    </w:rPr>
                  </w:pPr>
                  <w:r>
                    <w:rPr>
                      <w:rFonts w:hAnsi="Times New Roman"/>
                      <w:szCs w:val="21"/>
                    </w:rPr>
                    <w:t>项目无重金属</w:t>
                  </w:r>
                  <w:r>
                    <w:rPr>
                      <w:rFonts w:hint="eastAsia" w:hAnsi="Times New Roman"/>
                      <w:szCs w:val="21"/>
                    </w:rPr>
                    <w:t>污染物，</w:t>
                  </w:r>
                  <w:r>
                    <w:rPr>
                      <w:rFonts w:hAnsi="Times New Roman"/>
                      <w:szCs w:val="21"/>
                    </w:rPr>
                    <w:t>VOCs</w:t>
                  </w:r>
                  <w:r>
                    <w:rPr>
                      <w:rFonts w:hint="eastAsia" w:hAnsi="Times New Roman"/>
                      <w:szCs w:val="21"/>
                    </w:rPr>
                    <w:t>设置治理</w:t>
                  </w:r>
                  <w:r>
                    <w:rPr>
                      <w:rFonts w:hAnsi="Times New Roman"/>
                      <w:szCs w:val="21"/>
                    </w:rPr>
                    <w:t>措施达标排放，</w:t>
                  </w:r>
                  <w:r>
                    <w:rPr>
                      <w:rFonts w:hint="eastAsia" w:hAnsi="Times New Roman"/>
                      <w:szCs w:val="21"/>
                    </w:rPr>
                    <w:t>车间防渗</w:t>
                  </w:r>
                  <w:r>
                    <w:rPr>
                      <w:rFonts w:hAnsi="Times New Roman"/>
                      <w:szCs w:val="21"/>
                    </w:rPr>
                    <w:t>，不会对土壤</w:t>
                  </w:r>
                  <w:r>
                    <w:rPr>
                      <w:rFonts w:hint="eastAsia" w:hAnsi="Times New Roman"/>
                      <w:szCs w:val="21"/>
                    </w:rPr>
                    <w:t>产生</w:t>
                  </w:r>
                  <w:r>
                    <w:rPr>
                      <w:rFonts w:hAnsi="Times New Roman"/>
                      <w:szCs w:val="21"/>
                    </w:rPr>
                    <w:t>影响</w:t>
                  </w:r>
                </w:p>
              </w:tc>
              <w:tc>
                <w:tcPr>
                  <w:tcW w:w="1036" w:type="dxa"/>
                  <w:vAlign w:val="center"/>
                </w:tcPr>
                <w:p>
                  <w:pPr>
                    <w:pStyle w:val="87"/>
                    <w:spacing w:line="360" w:lineRule="auto"/>
                    <w:rPr>
                      <w:rFonts w:hAnsi="Times New Roman"/>
                      <w:szCs w:val="21"/>
                    </w:rPr>
                  </w:pPr>
                  <w:r>
                    <w:rPr>
                      <w:rFonts w:hAnsi="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176" w:type="dxa"/>
                  <w:vAlign w:val="center"/>
                </w:tcPr>
                <w:p>
                  <w:pPr>
                    <w:pStyle w:val="87"/>
                    <w:spacing w:line="360" w:lineRule="auto"/>
                    <w:rPr>
                      <w:rFonts w:hAnsi="Times New Roman"/>
                      <w:szCs w:val="21"/>
                    </w:rPr>
                  </w:pPr>
                  <w:r>
                    <w:rPr>
                      <w:rFonts w:hAnsi="Times New Roman"/>
                      <w:szCs w:val="21"/>
                    </w:rPr>
                    <w:t>河北省人民政府关于印发河北省“净土行动”土壤污染防治工作方案的通知（冀政发[2017]3号）</w:t>
                  </w:r>
                </w:p>
              </w:tc>
              <w:tc>
                <w:tcPr>
                  <w:tcW w:w="560" w:type="dxa"/>
                  <w:vAlign w:val="center"/>
                </w:tcPr>
                <w:p>
                  <w:pPr>
                    <w:pStyle w:val="87"/>
                    <w:spacing w:line="360" w:lineRule="auto"/>
                    <w:rPr>
                      <w:rFonts w:hAnsi="Times New Roman"/>
                      <w:szCs w:val="21"/>
                    </w:rPr>
                  </w:pPr>
                  <w:r>
                    <w:rPr>
                      <w:rFonts w:hAnsi="Times New Roman"/>
                      <w:szCs w:val="21"/>
                    </w:rPr>
                    <w:t>1</w:t>
                  </w:r>
                </w:p>
              </w:tc>
              <w:tc>
                <w:tcPr>
                  <w:tcW w:w="4136" w:type="dxa"/>
                  <w:vAlign w:val="center"/>
                </w:tcPr>
                <w:p>
                  <w:pPr>
                    <w:pStyle w:val="87"/>
                    <w:spacing w:line="360" w:lineRule="auto"/>
                    <w:rPr>
                      <w:rFonts w:hAnsi="Times New Roman"/>
                      <w:szCs w:val="21"/>
                    </w:rPr>
                  </w:pPr>
                  <w:r>
                    <w:rPr>
                      <w:rFonts w:hAnsi="Times New Roman"/>
                      <w:szCs w:val="21"/>
                    </w:rPr>
                    <w:t>实施重点监管企业土壤污染监测，列入全省土壤环境重点监管企业名单的企业要自行或委托有资质的环境监测机构对其企业用地每年开展至少1次土壤环境监测，编制土壤环境治理报告，监测数据和报告向当地环保部门备案并向社会公开。</w:t>
                  </w:r>
                </w:p>
                <w:p>
                  <w:pPr>
                    <w:pStyle w:val="87"/>
                    <w:spacing w:line="360" w:lineRule="auto"/>
                    <w:rPr>
                      <w:rFonts w:hAnsi="Times New Roman"/>
                      <w:szCs w:val="21"/>
                    </w:rPr>
                  </w:pPr>
                  <w:r>
                    <w:rPr>
                      <w:rFonts w:hAnsi="Times New Roman"/>
                      <w:szCs w:val="21"/>
                    </w:rPr>
                    <w:t>规范危险废物处置行为，危险废物产生企业和利用处置企业要根据土壤污染防治的相关要求，完善突发环境事件应急预案内容，并向所在地环保部门备案。</w:t>
                  </w:r>
                </w:p>
              </w:tc>
              <w:tc>
                <w:tcPr>
                  <w:tcW w:w="1802" w:type="dxa"/>
                  <w:vAlign w:val="center"/>
                </w:tcPr>
                <w:p>
                  <w:pPr>
                    <w:pStyle w:val="87"/>
                    <w:spacing w:line="360" w:lineRule="auto"/>
                    <w:rPr>
                      <w:rFonts w:hAnsi="Times New Roman"/>
                      <w:szCs w:val="21"/>
                    </w:rPr>
                  </w:pPr>
                  <w:r>
                    <w:rPr>
                      <w:rFonts w:hAnsi="Times New Roman"/>
                      <w:szCs w:val="21"/>
                    </w:rPr>
                    <w:t>企业目前未列入上述重点名单</w:t>
                  </w:r>
                </w:p>
              </w:tc>
              <w:tc>
                <w:tcPr>
                  <w:tcW w:w="1036" w:type="dxa"/>
                  <w:vAlign w:val="center"/>
                </w:tcPr>
                <w:p>
                  <w:pPr>
                    <w:pStyle w:val="87"/>
                    <w:spacing w:line="360" w:lineRule="auto"/>
                    <w:rPr>
                      <w:rFonts w:hAnsi="Times New Roman"/>
                      <w:szCs w:val="21"/>
                    </w:rPr>
                  </w:pPr>
                  <w:r>
                    <w:rPr>
                      <w:rFonts w:hAnsi="Times New Roman"/>
                      <w:szCs w:val="21"/>
                    </w:rPr>
                    <w:t>符合</w:t>
                  </w:r>
                </w:p>
              </w:tc>
            </w:tr>
          </w:tbl>
          <w:p>
            <w:pPr>
              <w:spacing w:line="360" w:lineRule="auto"/>
              <w:ind w:firstLine="480" w:firstLineChars="200"/>
              <w:rPr>
                <w:sz w:val="24"/>
                <w:szCs w:val="24"/>
              </w:rPr>
            </w:pPr>
            <w:r>
              <w:rPr>
                <w:sz w:val="24"/>
                <w:szCs w:val="24"/>
              </w:rPr>
              <w:t>由</w:t>
            </w:r>
            <w:r>
              <w:rPr>
                <w:rFonts w:hint="eastAsia"/>
                <w:sz w:val="24"/>
                <w:szCs w:val="24"/>
              </w:rPr>
              <w:t>上表</w:t>
            </w:r>
            <w:r>
              <w:rPr>
                <w:sz w:val="24"/>
                <w:szCs w:val="24"/>
              </w:rPr>
              <w:t>可知，本项目符合国务院关于印发土壤污染防治行动计划的通知（国发〔2016〕31号）</w:t>
            </w:r>
            <w:r>
              <w:rPr>
                <w:rFonts w:hint="eastAsia"/>
                <w:sz w:val="24"/>
                <w:szCs w:val="24"/>
              </w:rPr>
              <w:t>和</w:t>
            </w:r>
            <w:r>
              <w:rPr>
                <w:sz w:val="24"/>
                <w:szCs w:val="24"/>
              </w:rPr>
              <w:t>河北省人民政府关于印发河北省“净土行动”土壤污染防治工作方案的通知（冀政发[2017]3号）中相关要求。</w:t>
            </w:r>
          </w:p>
          <w:p>
            <w:pPr>
              <w:adjustRightInd/>
              <w:spacing w:line="360" w:lineRule="auto"/>
              <w:ind w:firstLine="482" w:firstLineChars="200"/>
              <w:textAlignment w:val="auto"/>
              <w:rPr>
                <w:b/>
                <w:bCs/>
                <w:kern w:val="2"/>
                <w:sz w:val="24"/>
                <w:szCs w:val="24"/>
              </w:rPr>
            </w:pPr>
            <w:r>
              <w:rPr>
                <w:b/>
                <w:bCs/>
                <w:kern w:val="2"/>
                <w:sz w:val="24"/>
                <w:szCs w:val="24"/>
              </w:rPr>
              <w:t>11、选址可行性分析</w:t>
            </w:r>
          </w:p>
          <w:p>
            <w:pPr>
              <w:spacing w:line="360" w:lineRule="auto"/>
              <w:ind w:firstLine="480" w:firstLineChars="200"/>
              <w:rPr>
                <w:rFonts w:cs="宋体"/>
                <w:bCs/>
                <w:sz w:val="24"/>
                <w:szCs w:val="24"/>
              </w:rPr>
            </w:pPr>
            <w:bookmarkStart w:id="2" w:name="OLE_LINK6"/>
            <w:r>
              <w:rPr>
                <w:rFonts w:hint="eastAsia"/>
                <w:sz w:val="24"/>
                <w:szCs w:val="24"/>
              </w:rPr>
              <w:t>主城区垃圾转运站位于</w:t>
            </w:r>
            <w:r>
              <w:rPr>
                <w:rFonts w:hint="eastAsia" w:cs="宋体"/>
                <w:bCs/>
                <w:sz w:val="24"/>
                <w:szCs w:val="24"/>
              </w:rPr>
              <w:t>鹰手营子矿区主城区以东3公里、南距柳河约1公里，拟建处理规模120t/d生活垃圾转运站1座，厂址</w:t>
            </w:r>
            <w:r>
              <w:rPr>
                <w:rFonts w:hint="eastAsia"/>
                <w:sz w:val="24"/>
                <w:szCs w:val="24"/>
              </w:rPr>
              <w:t>中心坐标为北纬：40</w:t>
            </w:r>
            <w:r>
              <w:rPr>
                <w:sz w:val="24"/>
                <w:szCs w:val="24"/>
              </w:rPr>
              <w:t>°</w:t>
            </w:r>
            <w:r>
              <w:rPr>
                <w:rFonts w:hint="eastAsia"/>
                <w:sz w:val="24"/>
                <w:szCs w:val="24"/>
              </w:rPr>
              <w:t>32</w:t>
            </w:r>
            <w:r>
              <w:rPr>
                <w:sz w:val="24"/>
                <w:szCs w:val="24"/>
              </w:rPr>
              <w:t>′</w:t>
            </w:r>
            <w:r>
              <w:rPr>
                <w:rFonts w:hint="eastAsia"/>
                <w:sz w:val="24"/>
                <w:szCs w:val="24"/>
              </w:rPr>
              <w:t>24</w:t>
            </w:r>
            <w:r>
              <w:rPr>
                <w:sz w:val="24"/>
                <w:szCs w:val="24"/>
              </w:rPr>
              <w:t>″</w:t>
            </w:r>
            <w:r>
              <w:rPr>
                <w:rFonts w:hint="eastAsia"/>
                <w:sz w:val="24"/>
                <w:szCs w:val="24"/>
              </w:rPr>
              <w:t>、东经：117</w:t>
            </w:r>
            <w:r>
              <w:rPr>
                <w:sz w:val="24"/>
                <w:szCs w:val="24"/>
              </w:rPr>
              <w:t>°</w:t>
            </w:r>
            <w:r>
              <w:rPr>
                <w:rFonts w:hint="eastAsia"/>
                <w:sz w:val="24"/>
                <w:szCs w:val="24"/>
              </w:rPr>
              <w:t>41</w:t>
            </w:r>
            <w:r>
              <w:rPr>
                <w:sz w:val="24"/>
                <w:szCs w:val="24"/>
              </w:rPr>
              <w:t>′</w:t>
            </w:r>
            <w:r>
              <w:rPr>
                <w:rFonts w:hint="eastAsia"/>
                <w:sz w:val="24"/>
                <w:szCs w:val="24"/>
              </w:rPr>
              <w:t>24</w:t>
            </w:r>
            <w:r>
              <w:rPr>
                <w:sz w:val="24"/>
                <w:szCs w:val="24"/>
              </w:rPr>
              <w:t>″</w:t>
            </w:r>
            <w:r>
              <w:rPr>
                <w:rFonts w:hint="eastAsia" w:cs="宋体"/>
                <w:bCs/>
                <w:sz w:val="24"/>
                <w:szCs w:val="24"/>
              </w:rPr>
              <w:t>；在寿王坟镇生活污水处理厂西侧3</w:t>
            </w:r>
            <w:r>
              <w:rPr>
                <w:rFonts w:cs="宋体"/>
                <w:bCs/>
                <w:sz w:val="24"/>
                <w:szCs w:val="24"/>
              </w:rPr>
              <w:t>0</w:t>
            </w:r>
            <w:r>
              <w:rPr>
                <w:rFonts w:hint="eastAsia" w:cs="宋体"/>
                <w:bCs/>
                <w:sz w:val="24"/>
                <w:szCs w:val="24"/>
              </w:rPr>
              <w:t>m建设服务规模20t/d生活垃圾转运站1座，</w:t>
            </w:r>
            <w:r>
              <w:rPr>
                <w:rFonts w:hint="eastAsia"/>
                <w:sz w:val="24"/>
                <w:szCs w:val="24"/>
              </w:rPr>
              <w:t>厂址中心坐标为北纬：40</w:t>
            </w:r>
            <w:r>
              <w:rPr>
                <w:sz w:val="24"/>
                <w:szCs w:val="24"/>
              </w:rPr>
              <w:t>°</w:t>
            </w:r>
            <w:r>
              <w:rPr>
                <w:rFonts w:hint="eastAsia"/>
                <w:sz w:val="24"/>
                <w:szCs w:val="24"/>
              </w:rPr>
              <w:t>36</w:t>
            </w:r>
            <w:r>
              <w:rPr>
                <w:sz w:val="24"/>
                <w:szCs w:val="24"/>
              </w:rPr>
              <w:t>′</w:t>
            </w:r>
            <w:r>
              <w:rPr>
                <w:rFonts w:hint="eastAsia"/>
                <w:sz w:val="24"/>
                <w:szCs w:val="24"/>
              </w:rPr>
              <w:t>00</w:t>
            </w:r>
            <w:r>
              <w:rPr>
                <w:sz w:val="24"/>
                <w:szCs w:val="24"/>
              </w:rPr>
              <w:t>″</w:t>
            </w:r>
            <w:r>
              <w:rPr>
                <w:rFonts w:hint="eastAsia"/>
                <w:sz w:val="24"/>
                <w:szCs w:val="24"/>
              </w:rPr>
              <w:t>、东经：117</w:t>
            </w:r>
            <w:r>
              <w:rPr>
                <w:sz w:val="24"/>
                <w:szCs w:val="24"/>
              </w:rPr>
              <w:t>°</w:t>
            </w:r>
            <w:r>
              <w:rPr>
                <w:rFonts w:hint="eastAsia"/>
                <w:sz w:val="24"/>
                <w:szCs w:val="24"/>
              </w:rPr>
              <w:t>46</w:t>
            </w:r>
            <w:r>
              <w:rPr>
                <w:sz w:val="24"/>
                <w:szCs w:val="24"/>
              </w:rPr>
              <w:t>′</w:t>
            </w:r>
            <w:r>
              <w:rPr>
                <w:rFonts w:hint="eastAsia"/>
                <w:sz w:val="24"/>
                <w:szCs w:val="24"/>
              </w:rPr>
              <w:t>12</w:t>
            </w:r>
            <w:r>
              <w:rPr>
                <w:sz w:val="24"/>
                <w:szCs w:val="24"/>
              </w:rPr>
              <w:t>″</w:t>
            </w:r>
            <w:r>
              <w:rPr>
                <w:rFonts w:hint="eastAsia" w:cs="宋体"/>
                <w:bCs/>
                <w:sz w:val="24"/>
                <w:szCs w:val="24"/>
              </w:rPr>
              <w:t>。</w:t>
            </w:r>
          </w:p>
          <w:bookmarkEnd w:id="2"/>
          <w:p>
            <w:pPr>
              <w:spacing w:line="360" w:lineRule="auto"/>
              <w:ind w:firstLine="480" w:firstLineChars="200"/>
              <w:rPr>
                <w:sz w:val="24"/>
                <w:szCs w:val="24"/>
              </w:rPr>
            </w:pPr>
            <w:r>
              <w:rPr>
                <w:rFonts w:hint="eastAsia"/>
                <w:sz w:val="24"/>
                <w:szCs w:val="24"/>
              </w:rPr>
              <w:t>本项目用地属于建设用地，地上无建筑物，没有拆迁量、不涉</w:t>
            </w:r>
            <w:r>
              <w:rPr>
                <w:rFonts w:hint="eastAsia" w:cs="宋体"/>
                <w:sz w:val="24"/>
                <w:szCs w:val="24"/>
              </w:rPr>
              <w:t>及失地农民的安置补偿工作。</w:t>
            </w:r>
            <w:r>
              <w:rPr>
                <w:sz w:val="24"/>
                <w:szCs w:val="24"/>
              </w:rPr>
              <w:t>项目</w:t>
            </w:r>
            <w:r>
              <w:rPr>
                <w:bCs/>
                <w:sz w:val="24"/>
                <w:szCs w:val="24"/>
              </w:rPr>
              <w:t>所在区域无国家规定的自然保护区、风景名胜区、饮用水源地、文物保护单位等其他敏感点分布。</w:t>
            </w:r>
          </w:p>
          <w:p>
            <w:pPr>
              <w:spacing w:line="360" w:lineRule="auto"/>
              <w:ind w:firstLine="472" w:firstLineChars="197"/>
              <w:rPr>
                <w:bCs/>
                <w:sz w:val="24"/>
                <w:szCs w:val="24"/>
              </w:rPr>
            </w:pPr>
            <w:r>
              <w:rPr>
                <w:bCs/>
                <w:sz w:val="24"/>
                <w:szCs w:val="24"/>
              </w:rPr>
              <w:t>因此，本项目选址可行。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11" w:hRule="atLeast"/>
        </w:trPr>
        <w:tc>
          <w:tcPr>
            <w:tcW w:w="8936" w:type="dxa"/>
            <w:gridSpan w:val="8"/>
          </w:tcPr>
          <w:p>
            <w:pPr>
              <w:spacing w:line="360" w:lineRule="auto"/>
              <w:rPr>
                <w:b/>
                <w:bCs/>
                <w:sz w:val="24"/>
                <w:szCs w:val="24"/>
              </w:rPr>
            </w:pPr>
            <w:r>
              <w:rPr>
                <w:b/>
                <w:bCs/>
                <w:sz w:val="24"/>
                <w:szCs w:val="24"/>
              </w:rPr>
              <w:t>与本项目有关的原有污染情况及主要环境问题：</w:t>
            </w:r>
          </w:p>
          <w:p>
            <w:pPr>
              <w:pStyle w:val="105"/>
              <w:spacing w:line="360" w:lineRule="auto"/>
              <w:ind w:firstLine="482" w:firstLineChars="200"/>
              <w:jc w:val="both"/>
              <w:rPr>
                <w:rFonts w:ascii="Times New Roman"/>
                <w:b/>
                <w:color w:val="auto"/>
              </w:rPr>
            </w:pPr>
            <w:r>
              <w:rPr>
                <w:rFonts w:ascii="Times New Roman"/>
                <w:b/>
                <w:bCs/>
                <w:color w:val="auto"/>
              </w:rPr>
              <w:t>1</w:t>
            </w:r>
            <w:r>
              <w:rPr>
                <w:rFonts w:hint="eastAsia" w:ascii="Times New Roman"/>
                <w:b/>
                <w:color w:val="auto"/>
              </w:rPr>
              <w:t>、与项目有关的原有污染情况</w:t>
            </w:r>
          </w:p>
          <w:p>
            <w:pPr>
              <w:pStyle w:val="105"/>
              <w:spacing w:line="360" w:lineRule="auto"/>
              <w:ind w:firstLine="480" w:firstLineChars="200"/>
              <w:jc w:val="both"/>
              <w:rPr>
                <w:rFonts w:ascii="Times New Roman"/>
                <w:color w:val="auto"/>
              </w:rPr>
            </w:pPr>
            <w:r>
              <w:rPr>
                <w:rFonts w:hint="eastAsia" w:ascii="Times New Roman"/>
                <w:color w:val="auto"/>
              </w:rPr>
              <w:t>项目建设性质为新建，不存在与项目有关的原有污染情况。</w:t>
            </w:r>
          </w:p>
          <w:p>
            <w:pPr>
              <w:pStyle w:val="105"/>
              <w:spacing w:line="360" w:lineRule="auto"/>
              <w:ind w:firstLine="482" w:firstLineChars="200"/>
              <w:jc w:val="both"/>
              <w:rPr>
                <w:rFonts w:ascii="Times New Roman"/>
                <w:b/>
                <w:color w:val="auto"/>
              </w:rPr>
            </w:pPr>
            <w:r>
              <w:rPr>
                <w:rFonts w:ascii="Times New Roman" w:cs="Times New Roman"/>
                <w:b/>
                <w:bCs/>
                <w:color w:val="auto"/>
              </w:rPr>
              <w:t>2</w:t>
            </w:r>
            <w:r>
              <w:rPr>
                <w:rFonts w:hint="eastAsia" w:ascii="Times New Roman"/>
                <w:b/>
                <w:color w:val="auto"/>
              </w:rPr>
              <w:t>、区域主要环境问题</w:t>
            </w:r>
          </w:p>
          <w:p>
            <w:pPr>
              <w:spacing w:line="360" w:lineRule="auto"/>
              <w:ind w:firstLine="480" w:firstLineChars="200"/>
              <w:rPr>
                <w:sz w:val="24"/>
                <w:szCs w:val="24"/>
              </w:rPr>
            </w:pPr>
            <w:r>
              <w:rPr>
                <w:rFonts w:hint="eastAsia"/>
                <w:sz w:val="24"/>
                <w:szCs w:val="24"/>
              </w:rPr>
              <w:t>项目四周无重污染企业，周围为道路及空地，周围主要的环境问题为道路产生的噪声、有机废气、汽车废气等污染对环境的影响，项目周围无恶臭、辐射污染。</w:t>
            </w:r>
          </w:p>
        </w:tc>
      </w:tr>
    </w:tbl>
    <w:p>
      <w:pPr>
        <w:spacing w:line="360" w:lineRule="auto"/>
        <w:outlineLvl w:val="0"/>
        <w:rPr>
          <w:b/>
          <w:sz w:val="28"/>
          <w:szCs w:val="28"/>
        </w:rPr>
      </w:pPr>
      <w:r>
        <w:rPr>
          <w:sz w:val="24"/>
          <w:szCs w:val="24"/>
        </w:rPr>
        <w:br w:type="page"/>
      </w:r>
      <w:r>
        <w:rPr>
          <w:b/>
          <w:sz w:val="28"/>
          <w:szCs w:val="28"/>
        </w:rPr>
        <w:t>建设项目所在地自然环境社会环境简况</w:t>
      </w:r>
    </w:p>
    <w:tbl>
      <w:tblPr>
        <w:tblStyle w:val="27"/>
        <w:tblW w:w="88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133" w:hRule="atLeast"/>
          <w:jc w:val="center"/>
        </w:trPr>
        <w:tc>
          <w:tcPr>
            <w:tcW w:w="8834" w:type="dxa"/>
          </w:tcPr>
          <w:p>
            <w:pPr>
              <w:spacing w:line="360" w:lineRule="auto"/>
              <w:rPr>
                <w:b/>
                <w:sz w:val="24"/>
                <w:szCs w:val="24"/>
              </w:rPr>
            </w:pPr>
            <w:r>
              <w:rPr>
                <w:b/>
                <w:sz w:val="24"/>
                <w:szCs w:val="24"/>
              </w:rPr>
              <w:t>自然环境简况(</w:t>
            </w:r>
            <w:r>
              <w:rPr>
                <w:sz w:val="24"/>
                <w:szCs w:val="24"/>
              </w:rPr>
              <w:t>地形、地貌、地质、气候、气象、水文、植被、生物多样性等)</w:t>
            </w:r>
            <w:r>
              <w:rPr>
                <w:b/>
                <w:sz w:val="24"/>
                <w:szCs w:val="24"/>
              </w:rPr>
              <w:t>：</w:t>
            </w:r>
          </w:p>
          <w:p>
            <w:pPr>
              <w:spacing w:line="360" w:lineRule="auto"/>
              <w:ind w:firstLine="496" w:firstLineChars="200"/>
              <w:rPr>
                <w:spacing w:val="4"/>
                <w:sz w:val="24"/>
                <w:szCs w:val="24"/>
              </w:rPr>
            </w:pPr>
            <w:bookmarkStart w:id="3" w:name="_Toc238004708"/>
            <w:bookmarkStart w:id="4" w:name="_Toc238089773"/>
            <w:bookmarkStart w:id="5" w:name="_Toc238004923"/>
            <w:bookmarkStart w:id="6" w:name="_Toc238005160"/>
            <w:bookmarkStart w:id="7" w:name="_Toc300342997"/>
            <w:r>
              <w:rPr>
                <w:spacing w:val="4"/>
                <w:sz w:val="24"/>
                <w:szCs w:val="24"/>
              </w:rPr>
              <w:t>1</w:t>
            </w:r>
            <w:bookmarkEnd w:id="3"/>
            <w:bookmarkEnd w:id="4"/>
            <w:bookmarkEnd w:id="5"/>
            <w:bookmarkEnd w:id="6"/>
            <w:r>
              <w:rPr>
                <w:spacing w:val="4"/>
                <w:sz w:val="24"/>
                <w:szCs w:val="24"/>
              </w:rPr>
              <w:t>、地理位置</w:t>
            </w:r>
            <w:bookmarkEnd w:id="7"/>
          </w:p>
          <w:p>
            <w:pPr>
              <w:spacing w:line="360" w:lineRule="auto"/>
              <w:ind w:firstLine="480" w:firstLineChars="200"/>
              <w:rPr>
                <w:rFonts w:cs="Arial"/>
                <w:sz w:val="24"/>
                <w:szCs w:val="24"/>
                <w:shd w:val="clear" w:color="auto" w:fill="FFFFFF"/>
              </w:rPr>
            </w:pPr>
            <w:r>
              <w:rPr>
                <w:rFonts w:cs="Arial"/>
                <w:sz w:val="24"/>
                <w:szCs w:val="24"/>
                <w:shd w:val="clear" w:color="auto" w:fill="FFFFFF"/>
              </w:rPr>
              <w:t>鹰手营子矿区是隶属</w:t>
            </w:r>
            <w:r>
              <w:fldChar w:fldCharType="begin"/>
            </w:r>
            <w:r>
              <w:instrText xml:space="preserve"> HYPERLINK "https://baike.baidu.com/item/%E6%B2%B3%E5%8C%97%E7%9C%81/153775" \t "_blank" </w:instrText>
            </w:r>
            <w:r>
              <w:fldChar w:fldCharType="separate"/>
            </w:r>
            <w:r>
              <w:rPr>
                <w:rStyle w:val="31"/>
                <w:rFonts w:cs="Arial"/>
                <w:color w:val="auto"/>
                <w:sz w:val="24"/>
                <w:szCs w:val="24"/>
                <w:u w:val="none"/>
                <w:shd w:val="clear" w:color="auto" w:fill="FFFFFF"/>
              </w:rPr>
              <w:t>河北省</w:t>
            </w:r>
            <w:r>
              <w:rPr>
                <w:rStyle w:val="31"/>
                <w:rFonts w:cs="Arial"/>
                <w:color w:val="auto"/>
                <w:sz w:val="24"/>
                <w:szCs w:val="24"/>
                <w:u w:val="none"/>
                <w:shd w:val="clear" w:color="auto" w:fill="FFFFFF"/>
              </w:rPr>
              <w:fldChar w:fldCharType="end"/>
            </w:r>
            <w:r>
              <w:fldChar w:fldCharType="begin"/>
            </w:r>
            <w:r>
              <w:instrText xml:space="preserve"> HYPERLINK "https://baike.baidu.com/item/%E6%89%BF%E5%BE%B7%E5%B8%82/13022361" \t "_blank" </w:instrText>
            </w:r>
            <w:r>
              <w:fldChar w:fldCharType="separate"/>
            </w:r>
            <w:r>
              <w:rPr>
                <w:rStyle w:val="31"/>
                <w:rFonts w:cs="Arial"/>
                <w:color w:val="auto"/>
                <w:sz w:val="24"/>
                <w:szCs w:val="24"/>
                <w:u w:val="none"/>
                <w:shd w:val="clear" w:color="auto" w:fill="FFFFFF"/>
              </w:rPr>
              <w:t>承德市</w:t>
            </w:r>
            <w:r>
              <w:rPr>
                <w:rStyle w:val="31"/>
                <w:rFonts w:cs="Arial"/>
                <w:color w:val="auto"/>
                <w:sz w:val="24"/>
                <w:szCs w:val="24"/>
                <w:u w:val="none"/>
                <w:shd w:val="clear" w:color="auto" w:fill="FFFFFF"/>
              </w:rPr>
              <w:fldChar w:fldCharType="end"/>
            </w:r>
            <w:r>
              <w:rPr>
                <w:rFonts w:cs="Arial"/>
                <w:sz w:val="24"/>
                <w:szCs w:val="24"/>
                <w:shd w:val="clear" w:color="auto" w:fill="FFFFFF"/>
              </w:rPr>
              <w:t>的一个</w:t>
            </w:r>
            <w:r>
              <w:fldChar w:fldCharType="begin"/>
            </w:r>
            <w:r>
              <w:instrText xml:space="preserve"> HYPERLINK "https://baike.baidu.com/item/%E5%B8%82%E8%BE%96%E5%8C%BA/10182051" \t "_blank" </w:instrText>
            </w:r>
            <w:r>
              <w:fldChar w:fldCharType="separate"/>
            </w:r>
            <w:r>
              <w:rPr>
                <w:rStyle w:val="31"/>
                <w:rFonts w:cs="Arial"/>
                <w:color w:val="auto"/>
                <w:sz w:val="24"/>
                <w:szCs w:val="24"/>
                <w:u w:val="none"/>
                <w:shd w:val="clear" w:color="auto" w:fill="FFFFFF"/>
              </w:rPr>
              <w:t>市辖区</w:t>
            </w:r>
            <w:r>
              <w:rPr>
                <w:rStyle w:val="31"/>
                <w:rFonts w:cs="Arial"/>
                <w:color w:val="auto"/>
                <w:sz w:val="24"/>
                <w:szCs w:val="24"/>
                <w:u w:val="none"/>
                <w:shd w:val="clear" w:color="auto" w:fill="FFFFFF"/>
              </w:rPr>
              <w:fldChar w:fldCharType="end"/>
            </w:r>
            <w:r>
              <w:rPr>
                <w:rFonts w:cs="Arial"/>
                <w:sz w:val="24"/>
                <w:szCs w:val="24"/>
                <w:shd w:val="clear" w:color="auto" w:fill="FFFFFF"/>
              </w:rPr>
              <w:t>，地处燕山主峰</w:t>
            </w:r>
            <w:r>
              <w:fldChar w:fldCharType="begin"/>
            </w:r>
            <w:r>
              <w:instrText xml:space="preserve"> HYPERLINK "https://baike.baidu.com/item/%E9%9B%BE%E7%81%B5%E5%B1%B1" \t "_blank" </w:instrText>
            </w:r>
            <w:r>
              <w:fldChar w:fldCharType="separate"/>
            </w:r>
            <w:r>
              <w:rPr>
                <w:rStyle w:val="31"/>
                <w:rFonts w:cs="Arial"/>
                <w:color w:val="auto"/>
                <w:sz w:val="24"/>
                <w:szCs w:val="24"/>
                <w:u w:val="none"/>
                <w:shd w:val="clear" w:color="auto" w:fill="FFFFFF"/>
              </w:rPr>
              <w:t>雾灵山</w:t>
            </w:r>
            <w:r>
              <w:rPr>
                <w:rStyle w:val="31"/>
                <w:rFonts w:cs="Arial"/>
                <w:color w:val="auto"/>
                <w:sz w:val="24"/>
                <w:szCs w:val="24"/>
                <w:u w:val="none"/>
                <w:shd w:val="clear" w:color="auto" w:fill="FFFFFF"/>
              </w:rPr>
              <w:fldChar w:fldCharType="end"/>
            </w:r>
            <w:r>
              <w:rPr>
                <w:rFonts w:cs="Arial"/>
                <w:sz w:val="24"/>
                <w:szCs w:val="24"/>
                <w:shd w:val="clear" w:color="auto" w:fill="FFFFFF"/>
              </w:rPr>
              <w:t>东麓。鹰手营子矿区分布在兴隆县境内，分为两个区域，一个区域以鹰手营子为中心，包括汪家庄镇和马圈等乡，另一个区域是寿王坟镇，两区域相距2.5公里。鹰手营子矿区东与</w:t>
            </w:r>
            <w:r>
              <w:fldChar w:fldCharType="begin"/>
            </w:r>
            <w:r>
              <w:instrText xml:space="preserve"> HYPERLINK "https://baike.baidu.com/item/%E6%89%BF%E5%BE%B7%E5%8E%BF" \t "_blank" </w:instrText>
            </w:r>
            <w:r>
              <w:fldChar w:fldCharType="separate"/>
            </w:r>
            <w:r>
              <w:rPr>
                <w:rStyle w:val="31"/>
                <w:rFonts w:cs="Arial"/>
                <w:color w:val="auto"/>
                <w:sz w:val="24"/>
                <w:szCs w:val="24"/>
                <w:u w:val="none"/>
                <w:shd w:val="clear" w:color="auto" w:fill="FFFFFF"/>
              </w:rPr>
              <w:t>承德县</w:t>
            </w:r>
            <w:r>
              <w:rPr>
                <w:rStyle w:val="31"/>
                <w:rFonts w:cs="Arial"/>
                <w:color w:val="auto"/>
                <w:sz w:val="24"/>
                <w:szCs w:val="24"/>
                <w:u w:val="none"/>
                <w:shd w:val="clear" w:color="auto" w:fill="FFFFFF"/>
              </w:rPr>
              <w:fldChar w:fldCharType="end"/>
            </w:r>
            <w:r>
              <w:rPr>
                <w:rFonts w:cs="Arial"/>
                <w:sz w:val="24"/>
                <w:szCs w:val="24"/>
                <w:shd w:val="clear" w:color="auto" w:fill="FFFFFF"/>
              </w:rPr>
              <w:t>、兴隆县接壤，西、南、北为兴隆县所环抱，鹰手营子矿区北距承德100公里，西南距北京176公里，南距天津220公里，东南距唐山200公里。总面积148平方公里。</w:t>
            </w:r>
          </w:p>
          <w:p>
            <w:pPr>
              <w:spacing w:line="360" w:lineRule="auto"/>
              <w:ind w:firstLine="480" w:firstLineChars="200"/>
              <w:rPr>
                <w:sz w:val="24"/>
                <w:szCs w:val="24"/>
              </w:rPr>
            </w:pPr>
            <w:r>
              <w:rPr>
                <w:sz w:val="24"/>
                <w:szCs w:val="24"/>
              </w:rPr>
              <w:t>主城区建设规模120t/d生活垃圾中转站</w:t>
            </w:r>
            <w:r>
              <w:rPr>
                <w:rFonts w:hint="eastAsia"/>
                <w:sz w:val="24"/>
                <w:szCs w:val="24"/>
              </w:rPr>
              <w:t>1</w:t>
            </w:r>
            <w:r>
              <w:rPr>
                <w:sz w:val="24"/>
                <w:szCs w:val="24"/>
              </w:rPr>
              <w:t>座</w:t>
            </w:r>
            <w:r>
              <w:rPr>
                <w:rFonts w:hint="eastAsia"/>
                <w:sz w:val="24"/>
                <w:szCs w:val="24"/>
              </w:rPr>
              <w:t>，东距主城区</w:t>
            </w:r>
            <w:r>
              <w:rPr>
                <w:sz w:val="24"/>
                <w:szCs w:val="24"/>
              </w:rPr>
              <w:t>3公里、</w:t>
            </w:r>
            <w:r>
              <w:rPr>
                <w:rFonts w:hint="eastAsia"/>
                <w:sz w:val="24"/>
                <w:szCs w:val="24"/>
              </w:rPr>
              <w:t>南</w:t>
            </w:r>
            <w:r>
              <w:rPr>
                <w:sz w:val="24"/>
                <w:szCs w:val="24"/>
              </w:rPr>
              <w:t>距村庄约1距柳河约1公里，</w:t>
            </w:r>
            <w:r>
              <w:rPr>
                <w:rFonts w:hint="eastAsia"/>
                <w:sz w:val="24"/>
                <w:szCs w:val="24"/>
              </w:rPr>
              <w:t>厂址中心坐标为北纬：40</w:t>
            </w:r>
            <w:r>
              <w:rPr>
                <w:sz w:val="24"/>
                <w:szCs w:val="24"/>
              </w:rPr>
              <w:t>°</w:t>
            </w:r>
            <w:r>
              <w:rPr>
                <w:rFonts w:hint="eastAsia"/>
                <w:sz w:val="24"/>
                <w:szCs w:val="24"/>
              </w:rPr>
              <w:t>32</w:t>
            </w:r>
            <w:r>
              <w:rPr>
                <w:sz w:val="24"/>
                <w:szCs w:val="24"/>
              </w:rPr>
              <w:t>′</w:t>
            </w:r>
            <w:r>
              <w:rPr>
                <w:rFonts w:hint="eastAsia"/>
                <w:sz w:val="24"/>
                <w:szCs w:val="24"/>
              </w:rPr>
              <w:t>24</w:t>
            </w:r>
            <w:r>
              <w:rPr>
                <w:sz w:val="24"/>
                <w:szCs w:val="24"/>
              </w:rPr>
              <w:t>″</w:t>
            </w:r>
            <w:r>
              <w:rPr>
                <w:rFonts w:hint="eastAsia"/>
                <w:sz w:val="24"/>
                <w:szCs w:val="24"/>
              </w:rPr>
              <w:t>、东经：117</w:t>
            </w:r>
            <w:r>
              <w:rPr>
                <w:sz w:val="24"/>
                <w:szCs w:val="24"/>
              </w:rPr>
              <w:t>°</w:t>
            </w:r>
            <w:r>
              <w:rPr>
                <w:rFonts w:hint="eastAsia"/>
                <w:sz w:val="24"/>
                <w:szCs w:val="24"/>
              </w:rPr>
              <w:t>41</w:t>
            </w:r>
            <w:r>
              <w:rPr>
                <w:sz w:val="24"/>
                <w:szCs w:val="24"/>
              </w:rPr>
              <w:t>′</w:t>
            </w:r>
            <w:r>
              <w:rPr>
                <w:rFonts w:hint="eastAsia"/>
                <w:sz w:val="24"/>
                <w:szCs w:val="24"/>
              </w:rPr>
              <w:t>24</w:t>
            </w:r>
            <w:r>
              <w:rPr>
                <w:sz w:val="24"/>
                <w:szCs w:val="24"/>
              </w:rPr>
              <w:t>″</w:t>
            </w:r>
            <w:r>
              <w:rPr>
                <w:rFonts w:hint="eastAsia"/>
                <w:sz w:val="24"/>
                <w:szCs w:val="24"/>
              </w:rPr>
              <w:t>；</w:t>
            </w:r>
            <w:r>
              <w:rPr>
                <w:sz w:val="24"/>
                <w:szCs w:val="24"/>
              </w:rPr>
              <w:t>寿王坟镇建设规模20t/d生活垃圾中转站</w:t>
            </w:r>
            <w:r>
              <w:rPr>
                <w:rFonts w:hint="eastAsia"/>
                <w:sz w:val="24"/>
                <w:szCs w:val="24"/>
              </w:rPr>
              <w:t>1</w:t>
            </w:r>
            <w:r>
              <w:rPr>
                <w:sz w:val="24"/>
                <w:szCs w:val="24"/>
              </w:rPr>
              <w:t>座</w:t>
            </w:r>
            <w:r>
              <w:rPr>
                <w:rFonts w:hint="eastAsia"/>
                <w:sz w:val="24"/>
                <w:szCs w:val="24"/>
              </w:rPr>
              <w:t>，位于寿王坟镇生活</w:t>
            </w:r>
            <w:r>
              <w:rPr>
                <w:sz w:val="24"/>
                <w:szCs w:val="24"/>
              </w:rPr>
              <w:t>污水处理厂</w:t>
            </w:r>
            <w:r>
              <w:rPr>
                <w:rFonts w:hint="eastAsia"/>
                <w:sz w:val="24"/>
                <w:szCs w:val="24"/>
              </w:rPr>
              <w:t>西侧3</w:t>
            </w:r>
            <w:r>
              <w:rPr>
                <w:sz w:val="24"/>
                <w:szCs w:val="24"/>
              </w:rPr>
              <w:t>0</w:t>
            </w:r>
            <w:r>
              <w:rPr>
                <w:rFonts w:hint="eastAsia"/>
                <w:sz w:val="24"/>
                <w:szCs w:val="24"/>
              </w:rPr>
              <w:t>m，厂址中心坐标为北纬：40</w:t>
            </w:r>
            <w:r>
              <w:rPr>
                <w:sz w:val="24"/>
                <w:szCs w:val="24"/>
              </w:rPr>
              <w:t>°</w:t>
            </w:r>
            <w:r>
              <w:rPr>
                <w:rFonts w:hint="eastAsia"/>
                <w:sz w:val="24"/>
                <w:szCs w:val="24"/>
              </w:rPr>
              <w:t>36</w:t>
            </w:r>
            <w:r>
              <w:rPr>
                <w:sz w:val="24"/>
                <w:szCs w:val="24"/>
              </w:rPr>
              <w:t>′</w:t>
            </w:r>
            <w:r>
              <w:rPr>
                <w:rFonts w:hint="eastAsia"/>
                <w:sz w:val="24"/>
                <w:szCs w:val="24"/>
              </w:rPr>
              <w:t>00</w:t>
            </w:r>
            <w:r>
              <w:rPr>
                <w:sz w:val="24"/>
                <w:szCs w:val="24"/>
              </w:rPr>
              <w:t>″</w:t>
            </w:r>
            <w:r>
              <w:rPr>
                <w:rFonts w:hint="eastAsia"/>
                <w:sz w:val="24"/>
                <w:szCs w:val="24"/>
              </w:rPr>
              <w:t>、东经：117</w:t>
            </w:r>
            <w:r>
              <w:rPr>
                <w:sz w:val="24"/>
                <w:szCs w:val="24"/>
              </w:rPr>
              <w:t>°</w:t>
            </w:r>
            <w:r>
              <w:rPr>
                <w:rFonts w:hint="eastAsia"/>
                <w:sz w:val="24"/>
                <w:szCs w:val="24"/>
              </w:rPr>
              <w:t>46</w:t>
            </w:r>
            <w:r>
              <w:rPr>
                <w:sz w:val="24"/>
                <w:szCs w:val="24"/>
              </w:rPr>
              <w:t>′</w:t>
            </w:r>
            <w:r>
              <w:rPr>
                <w:rFonts w:hint="eastAsia"/>
                <w:sz w:val="24"/>
                <w:szCs w:val="24"/>
              </w:rPr>
              <w:t>12</w:t>
            </w:r>
            <w:r>
              <w:rPr>
                <w:sz w:val="24"/>
                <w:szCs w:val="24"/>
              </w:rPr>
              <w:t>″</w:t>
            </w:r>
            <w:r>
              <w:rPr>
                <w:rFonts w:hint="eastAsia"/>
                <w:sz w:val="24"/>
                <w:szCs w:val="24"/>
              </w:rPr>
              <w:t>。</w:t>
            </w:r>
          </w:p>
          <w:p>
            <w:pPr>
              <w:spacing w:line="360" w:lineRule="auto"/>
              <w:ind w:firstLine="480" w:firstLineChars="200"/>
              <w:rPr>
                <w:sz w:val="24"/>
                <w:szCs w:val="24"/>
              </w:rPr>
            </w:pPr>
            <w:r>
              <w:rPr>
                <w:rFonts w:hint="eastAsia"/>
                <w:sz w:val="24"/>
                <w:szCs w:val="24"/>
              </w:rPr>
              <w:t>主城区生活垃圾转运站（北纬：40</w:t>
            </w:r>
            <w:r>
              <w:rPr>
                <w:sz w:val="24"/>
                <w:szCs w:val="24"/>
              </w:rPr>
              <w:t>°</w:t>
            </w:r>
            <w:r>
              <w:rPr>
                <w:rFonts w:hint="eastAsia"/>
                <w:sz w:val="24"/>
                <w:szCs w:val="24"/>
              </w:rPr>
              <w:t>32</w:t>
            </w:r>
            <w:r>
              <w:rPr>
                <w:sz w:val="24"/>
                <w:szCs w:val="24"/>
              </w:rPr>
              <w:t>′</w:t>
            </w:r>
            <w:r>
              <w:rPr>
                <w:rFonts w:hint="eastAsia"/>
                <w:sz w:val="24"/>
                <w:szCs w:val="24"/>
              </w:rPr>
              <w:t>24</w:t>
            </w:r>
            <w:r>
              <w:rPr>
                <w:sz w:val="24"/>
                <w:szCs w:val="24"/>
              </w:rPr>
              <w:t>″</w:t>
            </w:r>
            <w:r>
              <w:rPr>
                <w:rFonts w:hint="eastAsia"/>
                <w:sz w:val="24"/>
                <w:szCs w:val="24"/>
              </w:rPr>
              <w:t>、东经：117</w:t>
            </w:r>
            <w:r>
              <w:rPr>
                <w:sz w:val="24"/>
                <w:szCs w:val="24"/>
              </w:rPr>
              <w:t>°</w:t>
            </w:r>
            <w:r>
              <w:rPr>
                <w:rFonts w:hint="eastAsia"/>
                <w:sz w:val="24"/>
                <w:szCs w:val="24"/>
              </w:rPr>
              <w:t>41</w:t>
            </w:r>
            <w:r>
              <w:rPr>
                <w:sz w:val="24"/>
                <w:szCs w:val="24"/>
              </w:rPr>
              <w:t>′</w:t>
            </w:r>
            <w:r>
              <w:rPr>
                <w:rFonts w:hint="eastAsia"/>
                <w:sz w:val="24"/>
                <w:szCs w:val="24"/>
              </w:rPr>
              <w:t>24</w:t>
            </w:r>
            <w:r>
              <w:rPr>
                <w:sz w:val="24"/>
                <w:szCs w:val="24"/>
              </w:rPr>
              <w:t>″</w:t>
            </w:r>
            <w:r>
              <w:rPr>
                <w:rFonts w:hint="eastAsia"/>
                <w:sz w:val="24"/>
                <w:szCs w:val="24"/>
              </w:rPr>
              <w:t>）及寿王坟镇生活垃圾转运站（北纬：40</w:t>
            </w:r>
            <w:r>
              <w:rPr>
                <w:sz w:val="24"/>
                <w:szCs w:val="24"/>
              </w:rPr>
              <w:t>°</w:t>
            </w:r>
            <w:r>
              <w:rPr>
                <w:rFonts w:hint="eastAsia"/>
                <w:sz w:val="24"/>
                <w:szCs w:val="24"/>
              </w:rPr>
              <w:t>36</w:t>
            </w:r>
            <w:r>
              <w:rPr>
                <w:sz w:val="24"/>
                <w:szCs w:val="24"/>
              </w:rPr>
              <w:t>′</w:t>
            </w:r>
            <w:r>
              <w:rPr>
                <w:rFonts w:hint="eastAsia"/>
                <w:sz w:val="24"/>
                <w:szCs w:val="24"/>
              </w:rPr>
              <w:t>00</w:t>
            </w:r>
            <w:r>
              <w:rPr>
                <w:sz w:val="24"/>
                <w:szCs w:val="24"/>
              </w:rPr>
              <w:t>″</w:t>
            </w:r>
            <w:r>
              <w:rPr>
                <w:rFonts w:hint="eastAsia"/>
                <w:sz w:val="24"/>
                <w:szCs w:val="24"/>
              </w:rPr>
              <w:t>、东经：117</w:t>
            </w:r>
            <w:r>
              <w:rPr>
                <w:sz w:val="24"/>
                <w:szCs w:val="24"/>
              </w:rPr>
              <w:t>°</w:t>
            </w:r>
            <w:r>
              <w:rPr>
                <w:rFonts w:hint="eastAsia"/>
                <w:sz w:val="24"/>
                <w:szCs w:val="24"/>
              </w:rPr>
              <w:t>46</w:t>
            </w:r>
            <w:r>
              <w:rPr>
                <w:sz w:val="24"/>
                <w:szCs w:val="24"/>
              </w:rPr>
              <w:t>′</w:t>
            </w:r>
            <w:r>
              <w:rPr>
                <w:rFonts w:hint="eastAsia"/>
                <w:sz w:val="24"/>
                <w:szCs w:val="24"/>
              </w:rPr>
              <w:t>12</w:t>
            </w:r>
            <w:r>
              <w:rPr>
                <w:sz w:val="24"/>
                <w:szCs w:val="24"/>
              </w:rPr>
              <w:t>″</w:t>
            </w:r>
            <w:r>
              <w:rPr>
                <w:rFonts w:hint="eastAsia"/>
                <w:sz w:val="24"/>
                <w:szCs w:val="24"/>
              </w:rPr>
              <w:t>）评价区域内无水源地、自然保护区、地表文物、景观及其他环境敏感点。</w:t>
            </w:r>
          </w:p>
          <w:p>
            <w:pPr>
              <w:pStyle w:val="44"/>
              <w:spacing w:line="360" w:lineRule="auto"/>
              <w:ind w:firstLine="480"/>
              <w:rPr>
                <w:szCs w:val="24"/>
              </w:rPr>
            </w:pPr>
            <w:r>
              <w:rPr>
                <w:rFonts w:cs="Times New Roman"/>
                <w:szCs w:val="24"/>
              </w:rPr>
              <w:t>2、地形地貌</w:t>
            </w:r>
          </w:p>
          <w:p>
            <w:pPr>
              <w:pStyle w:val="44"/>
              <w:spacing w:line="360" w:lineRule="auto"/>
              <w:ind w:firstLine="480"/>
              <w:rPr>
                <w:szCs w:val="24"/>
              </w:rPr>
            </w:pPr>
            <w:r>
              <w:rPr>
                <w:rFonts w:cs="Arial"/>
                <w:szCs w:val="24"/>
                <w:shd w:val="clear" w:color="auto" w:fill="FFFFFF"/>
              </w:rPr>
              <w:t>鹰手营子矿区地处冀北山地，属</w:t>
            </w:r>
            <w:r>
              <w:fldChar w:fldCharType="begin"/>
            </w:r>
            <w:r>
              <w:instrText xml:space="preserve"> HYPERLINK "https://baike.baidu.com/item/%E7%87%95%E5%B1%B1%E5%B1%B1%E8%84%89" \t "_blank" </w:instrText>
            </w:r>
            <w:r>
              <w:fldChar w:fldCharType="separate"/>
            </w:r>
            <w:r>
              <w:rPr>
                <w:rStyle w:val="31"/>
                <w:rFonts w:cs="Arial"/>
                <w:color w:val="auto"/>
                <w:szCs w:val="24"/>
                <w:u w:val="none"/>
                <w:shd w:val="clear" w:color="auto" w:fill="FFFFFF"/>
              </w:rPr>
              <w:t>燕山山脉</w:t>
            </w:r>
            <w:r>
              <w:rPr>
                <w:rStyle w:val="31"/>
                <w:rFonts w:cs="Arial"/>
                <w:color w:val="auto"/>
                <w:szCs w:val="24"/>
                <w:u w:val="none"/>
                <w:shd w:val="clear" w:color="auto" w:fill="FFFFFF"/>
              </w:rPr>
              <w:fldChar w:fldCharType="end"/>
            </w:r>
            <w:r>
              <w:rPr>
                <w:rFonts w:cs="Arial"/>
                <w:szCs w:val="24"/>
                <w:shd w:val="clear" w:color="auto" w:fill="FFFFFF"/>
              </w:rPr>
              <w:t>沉降带的过渡地带，地势西北高，东南低。境内</w:t>
            </w:r>
            <w:r>
              <w:fldChar w:fldCharType="begin"/>
            </w:r>
            <w:r>
              <w:instrText xml:space="preserve"> HYPERLINK "https://baike.baidu.com/item/%E5%B1%B1%E5%B3%A6" \t "_blank" </w:instrText>
            </w:r>
            <w:r>
              <w:fldChar w:fldCharType="separate"/>
            </w:r>
            <w:r>
              <w:rPr>
                <w:rStyle w:val="31"/>
                <w:rFonts w:cs="Arial"/>
                <w:color w:val="auto"/>
                <w:szCs w:val="24"/>
                <w:u w:val="none"/>
                <w:shd w:val="clear" w:color="auto" w:fill="FFFFFF"/>
              </w:rPr>
              <w:t>山峦</w:t>
            </w:r>
            <w:r>
              <w:rPr>
                <w:rStyle w:val="31"/>
                <w:rFonts w:cs="Arial"/>
                <w:color w:val="auto"/>
                <w:szCs w:val="24"/>
                <w:u w:val="none"/>
                <w:shd w:val="clear" w:color="auto" w:fill="FFFFFF"/>
              </w:rPr>
              <w:fldChar w:fldCharType="end"/>
            </w:r>
            <w:r>
              <w:rPr>
                <w:rFonts w:cs="Arial"/>
                <w:szCs w:val="24"/>
                <w:shd w:val="clear" w:color="auto" w:fill="FFFFFF"/>
              </w:rPr>
              <w:t>起伏，地形地貌复杂，山地多，平地少，平均</w:t>
            </w:r>
            <w:r>
              <w:fldChar w:fldCharType="begin"/>
            </w:r>
            <w:r>
              <w:instrText xml:space="preserve"> HYPERLINK "https://baike.baidu.com/item/%E6%B5%B7%E6%8B%94/5754" \t "_blank" </w:instrText>
            </w:r>
            <w:r>
              <w:fldChar w:fldCharType="separate"/>
            </w:r>
            <w:r>
              <w:rPr>
                <w:rStyle w:val="31"/>
                <w:rFonts w:cs="Arial"/>
                <w:color w:val="auto"/>
                <w:szCs w:val="24"/>
                <w:u w:val="none"/>
                <w:shd w:val="clear" w:color="auto" w:fill="FFFFFF"/>
              </w:rPr>
              <w:t>海拔</w:t>
            </w:r>
            <w:r>
              <w:rPr>
                <w:rStyle w:val="31"/>
                <w:rFonts w:cs="Arial"/>
                <w:color w:val="auto"/>
                <w:szCs w:val="24"/>
                <w:u w:val="none"/>
                <w:shd w:val="clear" w:color="auto" w:fill="FFFFFF"/>
              </w:rPr>
              <w:fldChar w:fldCharType="end"/>
            </w:r>
            <w:r>
              <w:rPr>
                <w:rFonts w:cs="Arial"/>
                <w:szCs w:val="24"/>
                <w:shd w:val="clear" w:color="auto" w:fill="FFFFFF"/>
              </w:rPr>
              <w:t>500米。</w:t>
            </w:r>
          </w:p>
          <w:p>
            <w:pPr>
              <w:pStyle w:val="44"/>
              <w:spacing w:line="360" w:lineRule="auto"/>
              <w:ind w:firstLine="480"/>
              <w:rPr>
                <w:szCs w:val="24"/>
              </w:rPr>
            </w:pPr>
            <w:r>
              <w:rPr>
                <w:rFonts w:cs="Times New Roman"/>
                <w:szCs w:val="24"/>
              </w:rPr>
              <w:t>3、地表水</w:t>
            </w:r>
          </w:p>
          <w:p>
            <w:pPr>
              <w:pStyle w:val="44"/>
              <w:spacing w:line="360" w:lineRule="auto"/>
              <w:ind w:firstLine="480"/>
              <w:rPr>
                <w:szCs w:val="24"/>
              </w:rPr>
            </w:pPr>
            <w:r>
              <w:rPr>
                <w:rFonts w:cs="Arial"/>
                <w:szCs w:val="24"/>
                <w:shd w:val="clear" w:color="auto" w:fill="FFFFFF"/>
              </w:rPr>
              <w:t>鹰手营子矿区</w:t>
            </w:r>
            <w:r>
              <w:rPr>
                <w:rFonts w:hint="eastAsia"/>
                <w:szCs w:val="24"/>
              </w:rPr>
              <w:t>滦河水系，境内有滦河一级支流柳河经过，全长</w:t>
            </w:r>
            <w:r>
              <w:rPr>
                <w:rFonts w:hint="eastAsia" w:cs="Times New Roman"/>
                <w:szCs w:val="24"/>
              </w:rPr>
              <w:t>12.15km</w:t>
            </w:r>
            <w:r>
              <w:rPr>
                <w:rFonts w:hint="eastAsia"/>
                <w:szCs w:val="24"/>
              </w:rPr>
              <w:t>，有老牛河、汪庄河、喇嘛沟河、金扇子河四条支流汇入柳河，其中老牛河、汪家庄河沟属常年河，喇嘛沟河、金扇子河则属季节性河流。本地区主要由地下水、地表水两部分组成，水资源总量年平均为</w:t>
            </w:r>
            <w:r>
              <w:rPr>
                <w:rFonts w:hint="eastAsia" w:cs="Times New Roman"/>
                <w:szCs w:val="24"/>
              </w:rPr>
              <w:t>2.00</w:t>
            </w:r>
            <w:r>
              <w:rPr>
                <w:rFonts w:hint="eastAsia"/>
                <w:szCs w:val="24"/>
              </w:rPr>
              <w:t>亿</w:t>
            </w:r>
            <w:r>
              <w:rPr>
                <w:rFonts w:hint="eastAsia" w:cs="Times New Roman"/>
                <w:szCs w:val="24"/>
              </w:rPr>
              <w:t>m</w:t>
            </w:r>
            <w:r>
              <w:rPr>
                <w:rFonts w:hint="eastAsia" w:cs="Times New Roman"/>
                <w:szCs w:val="24"/>
                <w:vertAlign w:val="superscript"/>
              </w:rPr>
              <w:t>3</w:t>
            </w:r>
            <w:r>
              <w:rPr>
                <w:rFonts w:hint="eastAsia"/>
                <w:szCs w:val="24"/>
              </w:rPr>
              <w:t>，平水年</w:t>
            </w:r>
            <w:r>
              <w:rPr>
                <w:rFonts w:hint="eastAsia" w:cs="Times New Roman"/>
                <w:szCs w:val="24"/>
              </w:rPr>
              <w:t>1.72</w:t>
            </w:r>
            <w:r>
              <w:rPr>
                <w:rFonts w:hint="eastAsia"/>
                <w:szCs w:val="24"/>
              </w:rPr>
              <w:t>亿</w:t>
            </w:r>
            <w:r>
              <w:rPr>
                <w:rFonts w:hint="eastAsia" w:cs="Times New Roman"/>
                <w:szCs w:val="24"/>
              </w:rPr>
              <w:t>m</w:t>
            </w:r>
            <w:r>
              <w:rPr>
                <w:rFonts w:hint="eastAsia" w:cs="Times New Roman"/>
                <w:szCs w:val="24"/>
                <w:vertAlign w:val="superscript"/>
              </w:rPr>
              <w:t>3</w:t>
            </w:r>
            <w:r>
              <w:rPr>
                <w:rFonts w:hint="eastAsia"/>
                <w:szCs w:val="24"/>
              </w:rPr>
              <w:t>，枯水年</w:t>
            </w:r>
            <w:r>
              <w:rPr>
                <w:rFonts w:hint="eastAsia" w:cs="Times New Roman"/>
                <w:szCs w:val="24"/>
              </w:rPr>
              <w:t>1.05</w:t>
            </w:r>
            <w:r>
              <w:rPr>
                <w:rFonts w:hint="eastAsia"/>
                <w:szCs w:val="24"/>
              </w:rPr>
              <w:t>亿</w:t>
            </w:r>
            <w:r>
              <w:rPr>
                <w:rFonts w:hint="eastAsia" w:cs="Times New Roman"/>
                <w:szCs w:val="24"/>
              </w:rPr>
              <w:t>m</w:t>
            </w:r>
            <w:r>
              <w:rPr>
                <w:rFonts w:hint="eastAsia" w:cs="Times New Roman"/>
                <w:szCs w:val="24"/>
                <w:vertAlign w:val="superscript"/>
              </w:rPr>
              <w:t>3</w:t>
            </w:r>
            <w:r>
              <w:rPr>
                <w:rFonts w:hint="eastAsia"/>
                <w:szCs w:val="24"/>
              </w:rPr>
              <w:t>，柳河为全区最大河流，年径流</w:t>
            </w:r>
            <w:r>
              <w:rPr>
                <w:rFonts w:hint="eastAsia" w:cs="Times New Roman"/>
                <w:szCs w:val="24"/>
              </w:rPr>
              <w:t>1.578</w:t>
            </w:r>
            <w:r>
              <w:rPr>
                <w:rFonts w:hint="eastAsia"/>
                <w:szCs w:val="24"/>
              </w:rPr>
              <w:t>亿</w:t>
            </w:r>
            <w:r>
              <w:rPr>
                <w:rFonts w:hint="eastAsia" w:cs="Times New Roman"/>
                <w:szCs w:val="24"/>
              </w:rPr>
              <w:t>m</w:t>
            </w:r>
            <w:r>
              <w:rPr>
                <w:rFonts w:hint="eastAsia" w:cs="Times New Roman"/>
                <w:szCs w:val="24"/>
                <w:vertAlign w:val="superscript"/>
              </w:rPr>
              <w:t>3</w:t>
            </w:r>
            <w:r>
              <w:rPr>
                <w:rFonts w:hint="eastAsia"/>
                <w:szCs w:val="24"/>
              </w:rPr>
              <w:t>，实测最大流量为</w:t>
            </w:r>
            <w:r>
              <w:rPr>
                <w:rFonts w:hint="eastAsia" w:cs="Times New Roman"/>
                <w:szCs w:val="24"/>
              </w:rPr>
              <w:t>444 m</w:t>
            </w:r>
            <w:r>
              <w:rPr>
                <w:rFonts w:hint="eastAsia" w:cs="Times New Roman"/>
                <w:szCs w:val="24"/>
                <w:vertAlign w:val="superscript"/>
              </w:rPr>
              <w:t>3</w:t>
            </w:r>
            <w:r>
              <w:rPr>
                <w:rFonts w:hint="eastAsia" w:cs="Times New Roman"/>
                <w:szCs w:val="24"/>
              </w:rPr>
              <w:t>/s</w:t>
            </w:r>
            <w:r>
              <w:rPr>
                <w:rFonts w:hint="eastAsia"/>
                <w:szCs w:val="24"/>
              </w:rPr>
              <w:t>，最小径流量</w:t>
            </w:r>
            <w:r>
              <w:rPr>
                <w:rFonts w:hint="eastAsia" w:cs="Times New Roman"/>
                <w:szCs w:val="24"/>
              </w:rPr>
              <w:t>0.11 m</w:t>
            </w:r>
            <w:r>
              <w:rPr>
                <w:rFonts w:hint="eastAsia" w:cs="Times New Roman"/>
                <w:szCs w:val="24"/>
                <w:vertAlign w:val="superscript"/>
              </w:rPr>
              <w:t>3</w:t>
            </w:r>
            <w:r>
              <w:rPr>
                <w:rFonts w:hint="eastAsia"/>
                <w:szCs w:val="24"/>
              </w:rPr>
              <w:t>/</w:t>
            </w:r>
            <w:r>
              <w:rPr>
                <w:rFonts w:hint="eastAsia" w:cs="Times New Roman"/>
                <w:szCs w:val="24"/>
              </w:rPr>
              <w:t>s</w:t>
            </w:r>
            <w:r>
              <w:rPr>
                <w:rFonts w:hint="eastAsia"/>
                <w:szCs w:val="24"/>
              </w:rPr>
              <w:t>。五十年一迁洪峰流量为</w:t>
            </w:r>
            <w:r>
              <w:rPr>
                <w:rFonts w:hint="eastAsia" w:cs="Times New Roman"/>
                <w:szCs w:val="24"/>
              </w:rPr>
              <w:t>2013 m</w:t>
            </w:r>
            <w:r>
              <w:rPr>
                <w:rFonts w:hint="eastAsia" w:cs="Times New Roman"/>
                <w:szCs w:val="24"/>
                <w:vertAlign w:val="superscript"/>
              </w:rPr>
              <w:t>3</w:t>
            </w:r>
            <w:r>
              <w:rPr>
                <w:rFonts w:hint="eastAsia"/>
                <w:szCs w:val="24"/>
              </w:rPr>
              <w:t>/s。</w:t>
            </w:r>
          </w:p>
          <w:p>
            <w:pPr>
              <w:pStyle w:val="44"/>
              <w:spacing w:line="360" w:lineRule="auto"/>
              <w:ind w:firstLine="480"/>
              <w:rPr>
                <w:szCs w:val="24"/>
              </w:rPr>
            </w:pPr>
            <w:r>
              <w:rPr>
                <w:rFonts w:cs="Times New Roman"/>
                <w:szCs w:val="24"/>
              </w:rPr>
              <w:t>4、气候特征</w:t>
            </w:r>
          </w:p>
          <w:p>
            <w:pPr>
              <w:pStyle w:val="44"/>
              <w:spacing w:line="360" w:lineRule="auto"/>
              <w:ind w:firstLine="480"/>
              <w:rPr>
                <w:rFonts w:cs="Arial"/>
                <w:szCs w:val="24"/>
                <w:shd w:val="clear" w:color="auto" w:fill="FFFFFF"/>
              </w:rPr>
            </w:pPr>
            <w:r>
              <w:rPr>
                <w:rFonts w:cs="Arial"/>
                <w:szCs w:val="24"/>
                <w:shd w:val="clear" w:color="auto" w:fill="FFFFFF"/>
              </w:rPr>
              <w:t>鹰手营子矿区属暖温带向中温带过渡，半湿润半干旱大陆性季风型山地气候，全年受</w:t>
            </w:r>
            <w:r>
              <w:fldChar w:fldCharType="begin"/>
            </w:r>
            <w:r>
              <w:instrText xml:space="preserve"> HYPERLINK "https://baike.baidu.com/item/%E8%A5%BF%E4%BC%AF%E5%88%A9%E4%BA%9A/63915" \t "_blank" </w:instrText>
            </w:r>
            <w:r>
              <w:fldChar w:fldCharType="separate"/>
            </w:r>
            <w:r>
              <w:rPr>
                <w:rStyle w:val="31"/>
                <w:rFonts w:cs="Arial"/>
                <w:color w:val="auto"/>
                <w:szCs w:val="24"/>
                <w:u w:val="none"/>
                <w:shd w:val="clear" w:color="auto" w:fill="FFFFFF"/>
              </w:rPr>
              <w:t>西伯利亚</w:t>
            </w:r>
            <w:r>
              <w:rPr>
                <w:rStyle w:val="31"/>
                <w:rFonts w:cs="Arial"/>
                <w:color w:val="auto"/>
                <w:szCs w:val="24"/>
                <w:u w:val="none"/>
                <w:shd w:val="clear" w:color="auto" w:fill="FFFFFF"/>
              </w:rPr>
              <w:fldChar w:fldCharType="end"/>
            </w:r>
            <w:r>
              <w:rPr>
                <w:rFonts w:cs="Arial"/>
                <w:szCs w:val="24"/>
                <w:shd w:val="clear" w:color="auto" w:fill="FFFFFF"/>
              </w:rPr>
              <w:t>冷气团和</w:t>
            </w:r>
            <w:r>
              <w:fldChar w:fldCharType="begin"/>
            </w:r>
            <w:r>
              <w:instrText xml:space="preserve"> HYPERLINK "https://baike.baidu.com/item/%E5%89%AF%E7%83%AD%E5%B8%A6" \t "_blank" </w:instrText>
            </w:r>
            <w:r>
              <w:fldChar w:fldCharType="separate"/>
            </w:r>
            <w:r>
              <w:rPr>
                <w:rStyle w:val="31"/>
                <w:rFonts w:cs="Arial"/>
                <w:color w:val="auto"/>
                <w:szCs w:val="24"/>
                <w:u w:val="none"/>
                <w:shd w:val="clear" w:color="auto" w:fill="FFFFFF"/>
              </w:rPr>
              <w:t>副热带</w:t>
            </w:r>
            <w:r>
              <w:rPr>
                <w:rStyle w:val="31"/>
                <w:rFonts w:cs="Arial"/>
                <w:color w:val="auto"/>
                <w:szCs w:val="24"/>
                <w:u w:val="none"/>
                <w:shd w:val="clear" w:color="auto" w:fill="FFFFFF"/>
              </w:rPr>
              <w:fldChar w:fldCharType="end"/>
            </w:r>
            <w:r>
              <w:rPr>
                <w:rFonts w:cs="Arial"/>
                <w:szCs w:val="24"/>
                <w:shd w:val="clear" w:color="auto" w:fill="FFFFFF"/>
              </w:rPr>
              <w:t>太平洋气团的影响，春季多风干旱，夏季雨量集中，秋季气候凉爽，冬季寒冷少雪。一年</w:t>
            </w:r>
            <w:r>
              <w:fldChar w:fldCharType="begin"/>
            </w:r>
            <w:r>
              <w:instrText xml:space="preserve"> HYPERLINK "https://baike.baidu.com/item/%E5%9B%9B%E5%AD%A3/2116" \t "_blank" </w:instrText>
            </w:r>
            <w:r>
              <w:fldChar w:fldCharType="separate"/>
            </w:r>
            <w:r>
              <w:rPr>
                <w:rStyle w:val="31"/>
                <w:rFonts w:cs="Arial"/>
                <w:color w:val="auto"/>
                <w:szCs w:val="24"/>
                <w:shd w:val="clear" w:color="auto" w:fill="FFFFFF"/>
              </w:rPr>
              <w:t>四季</w:t>
            </w:r>
            <w:r>
              <w:rPr>
                <w:rStyle w:val="31"/>
                <w:rFonts w:cs="Arial"/>
                <w:color w:val="auto"/>
                <w:szCs w:val="24"/>
                <w:shd w:val="clear" w:color="auto" w:fill="FFFFFF"/>
              </w:rPr>
              <w:fldChar w:fldCharType="end"/>
            </w:r>
            <w:r>
              <w:rPr>
                <w:rFonts w:cs="Arial"/>
                <w:szCs w:val="24"/>
                <w:shd w:val="clear" w:color="auto" w:fill="FFFFFF"/>
              </w:rPr>
              <w:t>分明，年日照总时数为2918小时，太阳总辐射量为135千卡/平方厘米。年平均气温6.8</w:t>
            </w:r>
            <w:r>
              <w:rPr>
                <w:rFonts w:hint="eastAsia" w:cs="微软雅黑"/>
                <w:szCs w:val="24"/>
                <w:shd w:val="clear" w:color="auto" w:fill="FFFFFF"/>
              </w:rPr>
              <w:t>℃</w:t>
            </w:r>
            <w:r>
              <w:rPr>
                <w:rFonts w:cs="Arial"/>
                <w:szCs w:val="24"/>
                <w:shd w:val="clear" w:color="auto" w:fill="FFFFFF"/>
              </w:rPr>
              <w:t>，气温年差较大，无霜期为135天，大于零度的年平均积温3960</w:t>
            </w:r>
            <w:r>
              <w:rPr>
                <w:rFonts w:hint="eastAsia" w:cs="微软雅黑"/>
                <w:szCs w:val="24"/>
                <w:shd w:val="clear" w:color="auto" w:fill="FFFFFF"/>
              </w:rPr>
              <w:t>℃</w:t>
            </w:r>
            <w:r>
              <w:rPr>
                <w:rFonts w:cs="Arial"/>
                <w:szCs w:val="24"/>
                <w:shd w:val="clear" w:color="auto" w:fill="FFFFFF"/>
              </w:rPr>
              <w:t>，平均年降水量最高750毫米，7～8月份降水量占全年的85%，形成雨热同季。</w:t>
            </w:r>
          </w:p>
          <w:p>
            <w:pPr>
              <w:pStyle w:val="44"/>
              <w:spacing w:line="360" w:lineRule="auto"/>
              <w:ind w:firstLine="480"/>
              <w:rPr>
                <w:rFonts w:cs="Times New Roman"/>
                <w:szCs w:val="24"/>
              </w:rPr>
            </w:pPr>
            <w:r>
              <w:rPr>
                <w:rFonts w:cs="Times New Roman"/>
                <w:szCs w:val="24"/>
              </w:rPr>
              <w:t>5、水文地质</w:t>
            </w:r>
          </w:p>
          <w:p>
            <w:pPr>
              <w:pStyle w:val="44"/>
              <w:spacing w:line="360" w:lineRule="auto"/>
              <w:ind w:firstLine="480"/>
              <w:rPr>
                <w:szCs w:val="24"/>
              </w:rPr>
            </w:pPr>
            <w:r>
              <w:rPr>
                <w:rFonts w:cs="Arial"/>
                <w:szCs w:val="24"/>
                <w:shd w:val="clear" w:color="auto" w:fill="FFFFFF"/>
              </w:rPr>
              <w:t>鹰手</w:t>
            </w:r>
            <w:r>
              <w:rPr>
                <w:rFonts w:hint="eastAsia"/>
                <w:szCs w:val="24"/>
              </w:rPr>
              <w:t>营子矿区水文地质可分三类：</w:t>
            </w:r>
          </w:p>
          <w:p>
            <w:pPr>
              <w:pStyle w:val="44"/>
              <w:spacing w:line="360" w:lineRule="auto"/>
              <w:ind w:firstLine="480"/>
              <w:rPr>
                <w:szCs w:val="24"/>
              </w:rPr>
            </w:pPr>
            <w:r>
              <w:rPr>
                <w:rFonts w:hint="eastAsia"/>
                <w:szCs w:val="24"/>
              </w:rPr>
              <w:t>（1）冲积层孔隙潜水区，含水层分布于柳河沿岸一带厚度</w:t>
            </w:r>
            <w:r>
              <w:rPr>
                <w:rFonts w:cs="Times New Roman"/>
                <w:szCs w:val="24"/>
              </w:rPr>
              <w:t>3</w:t>
            </w:r>
            <w:r>
              <w:rPr>
                <w:rFonts w:hint="eastAsia"/>
                <w:szCs w:val="24"/>
              </w:rPr>
              <w:t>～</w:t>
            </w:r>
            <w:r>
              <w:rPr>
                <w:rFonts w:cs="Times New Roman"/>
                <w:szCs w:val="24"/>
              </w:rPr>
              <w:t>5m</w:t>
            </w:r>
            <w:r>
              <w:rPr>
                <w:rFonts w:hint="eastAsia"/>
                <w:szCs w:val="24"/>
              </w:rPr>
              <w:t>；</w:t>
            </w:r>
          </w:p>
          <w:p>
            <w:pPr>
              <w:pStyle w:val="44"/>
              <w:spacing w:line="360" w:lineRule="auto"/>
              <w:ind w:firstLine="480"/>
              <w:rPr>
                <w:szCs w:val="24"/>
              </w:rPr>
            </w:pPr>
            <w:r>
              <w:rPr>
                <w:rFonts w:hint="eastAsia"/>
                <w:szCs w:val="24"/>
              </w:rPr>
              <w:t>（2）煤系地层及火山岩系裂隙水；</w:t>
            </w:r>
          </w:p>
          <w:p>
            <w:pPr>
              <w:pStyle w:val="44"/>
              <w:spacing w:line="360" w:lineRule="auto"/>
              <w:ind w:firstLine="480"/>
              <w:rPr>
                <w:szCs w:val="24"/>
              </w:rPr>
            </w:pPr>
            <w:r>
              <w:rPr>
                <w:rFonts w:hint="eastAsia"/>
                <w:szCs w:val="24"/>
              </w:rPr>
              <w:t>（3）脉状岩溶承压水，岩溶发育，含水层厚度</w:t>
            </w:r>
            <w:r>
              <w:rPr>
                <w:rFonts w:cs="Times New Roman"/>
                <w:szCs w:val="24"/>
              </w:rPr>
              <w:t>10m</w:t>
            </w:r>
            <w:r>
              <w:rPr>
                <w:rFonts w:hint="eastAsia"/>
                <w:szCs w:val="24"/>
              </w:rPr>
              <w:t>左右，埋深</w:t>
            </w:r>
            <w:r>
              <w:rPr>
                <w:rFonts w:cs="Times New Roman"/>
                <w:szCs w:val="24"/>
              </w:rPr>
              <w:t>15m</w:t>
            </w:r>
            <w:r>
              <w:rPr>
                <w:rFonts w:hint="eastAsia"/>
                <w:szCs w:val="24"/>
              </w:rPr>
              <w:t>左右，地下水资源较丰富，补给区较大，水位受季节影响变幅明显。</w:t>
            </w:r>
          </w:p>
          <w:p>
            <w:pPr>
              <w:pStyle w:val="44"/>
              <w:spacing w:line="360" w:lineRule="auto"/>
              <w:ind w:firstLine="480"/>
              <w:rPr>
                <w:spacing w:val="-2"/>
                <w:szCs w:val="24"/>
              </w:rPr>
            </w:pPr>
            <w:r>
              <w:rPr>
                <w:rFonts w:cs="Times New Roman"/>
                <w:szCs w:val="24"/>
              </w:rPr>
              <w:t>6、植被物种</w:t>
            </w:r>
          </w:p>
          <w:p>
            <w:pPr>
              <w:pStyle w:val="44"/>
              <w:spacing w:line="360" w:lineRule="auto"/>
              <w:ind w:firstLine="480"/>
              <w:rPr>
                <w:szCs w:val="24"/>
              </w:rPr>
            </w:pPr>
            <w:r>
              <w:rPr>
                <w:rFonts w:hint="eastAsia"/>
                <w:szCs w:val="24"/>
              </w:rPr>
              <w:t>地带性植被是柞树、油松、杨树和果树，据森林资源普查结果表明，本区共有林地</w:t>
            </w:r>
            <w:r>
              <w:rPr>
                <w:rFonts w:hint="eastAsia" w:cs="Times New Roman"/>
                <w:szCs w:val="24"/>
              </w:rPr>
              <w:t>8200hm</w:t>
            </w:r>
            <w:r>
              <w:rPr>
                <w:rFonts w:hint="eastAsia" w:cs="Times New Roman"/>
                <w:szCs w:val="24"/>
                <w:vertAlign w:val="superscript"/>
              </w:rPr>
              <w:t>2</w:t>
            </w:r>
            <w:r>
              <w:rPr>
                <w:rFonts w:hint="eastAsia"/>
                <w:szCs w:val="24"/>
              </w:rPr>
              <w:t>，人均占有</w:t>
            </w:r>
            <w:r>
              <w:rPr>
                <w:rFonts w:hint="eastAsia" w:cs="Times New Roman"/>
                <w:szCs w:val="24"/>
              </w:rPr>
              <w:t>0.43hm</w:t>
            </w:r>
            <w:r>
              <w:rPr>
                <w:rFonts w:hint="eastAsia" w:cs="Times New Roman"/>
                <w:szCs w:val="24"/>
                <w:vertAlign w:val="superscript"/>
              </w:rPr>
              <w:t>2</w:t>
            </w:r>
            <w:r>
              <w:rPr>
                <w:rFonts w:hint="eastAsia"/>
                <w:szCs w:val="24"/>
              </w:rPr>
              <w:t>，其中有林地面积</w:t>
            </w:r>
            <w:r>
              <w:rPr>
                <w:rFonts w:hint="eastAsia" w:cs="Times New Roman"/>
                <w:szCs w:val="24"/>
              </w:rPr>
              <w:t>5067hm</w:t>
            </w:r>
            <w:r>
              <w:rPr>
                <w:rFonts w:hint="eastAsia" w:cs="Times New Roman"/>
                <w:szCs w:val="24"/>
                <w:vertAlign w:val="superscript"/>
              </w:rPr>
              <w:t>2</w:t>
            </w:r>
            <w:r>
              <w:rPr>
                <w:rFonts w:hint="eastAsia"/>
                <w:szCs w:val="24"/>
              </w:rPr>
              <w:t>，在林地面积中，柞树占</w:t>
            </w:r>
            <w:r>
              <w:rPr>
                <w:rFonts w:hint="eastAsia" w:cs="Times New Roman"/>
                <w:szCs w:val="24"/>
              </w:rPr>
              <w:t>61.3%</w:t>
            </w:r>
            <w:r>
              <w:rPr>
                <w:rFonts w:hint="eastAsia"/>
                <w:szCs w:val="24"/>
              </w:rPr>
              <w:t>，油松占</w:t>
            </w:r>
            <w:r>
              <w:rPr>
                <w:rFonts w:hint="eastAsia" w:cs="Times New Roman"/>
                <w:szCs w:val="24"/>
              </w:rPr>
              <w:t>6.4%</w:t>
            </w:r>
            <w:r>
              <w:rPr>
                <w:rFonts w:hint="eastAsia"/>
                <w:szCs w:val="24"/>
              </w:rPr>
              <w:t>，杨树占</w:t>
            </w:r>
            <w:r>
              <w:rPr>
                <w:rFonts w:hint="eastAsia" w:cs="Times New Roman"/>
                <w:szCs w:val="24"/>
              </w:rPr>
              <w:t>7.7%</w:t>
            </w:r>
            <w:r>
              <w:rPr>
                <w:rFonts w:hint="eastAsia"/>
                <w:szCs w:val="24"/>
              </w:rPr>
              <w:t>，有四旁植树</w:t>
            </w:r>
            <w:r>
              <w:rPr>
                <w:rFonts w:hint="eastAsia" w:cs="Times New Roman"/>
                <w:szCs w:val="24"/>
              </w:rPr>
              <w:t>26.6</w:t>
            </w:r>
            <w:r>
              <w:rPr>
                <w:rFonts w:hint="eastAsia"/>
                <w:szCs w:val="24"/>
              </w:rPr>
              <w:t>万株，立木总蓄积</w:t>
            </w:r>
            <w:r>
              <w:rPr>
                <w:rFonts w:hint="eastAsia" w:cs="Times New Roman"/>
                <w:szCs w:val="24"/>
              </w:rPr>
              <w:t>7.4</w:t>
            </w:r>
            <w:r>
              <w:rPr>
                <w:rFonts w:hint="eastAsia"/>
                <w:szCs w:val="24"/>
              </w:rPr>
              <w:t>万</w:t>
            </w:r>
            <w:r>
              <w:rPr>
                <w:rFonts w:hint="eastAsia" w:cs="Times New Roman"/>
                <w:szCs w:val="24"/>
              </w:rPr>
              <w:t>m</w:t>
            </w:r>
            <w:r>
              <w:rPr>
                <w:rFonts w:hint="eastAsia" w:cs="Times New Roman"/>
                <w:szCs w:val="24"/>
                <w:vertAlign w:val="superscript"/>
              </w:rPr>
              <w:t>3</w:t>
            </w:r>
            <w:r>
              <w:rPr>
                <w:rFonts w:hint="eastAsia"/>
                <w:szCs w:val="24"/>
              </w:rPr>
              <w:t>。林木每公顷蓄积</w:t>
            </w:r>
            <w:r>
              <w:rPr>
                <w:rFonts w:hint="eastAsia" w:cs="Times New Roman"/>
                <w:szCs w:val="24"/>
              </w:rPr>
              <w:t>14.25 m</w:t>
            </w:r>
            <w:r>
              <w:rPr>
                <w:rFonts w:hint="eastAsia" w:cs="Times New Roman"/>
                <w:szCs w:val="24"/>
                <w:vertAlign w:val="superscript"/>
              </w:rPr>
              <w:t>3</w:t>
            </w:r>
            <w:r>
              <w:rPr>
                <w:rFonts w:hint="eastAsia"/>
                <w:szCs w:val="24"/>
              </w:rPr>
              <w:t>，现有荒山荒地</w:t>
            </w:r>
            <w:r>
              <w:rPr>
                <w:rFonts w:hint="eastAsia" w:cs="Times New Roman"/>
                <w:szCs w:val="24"/>
              </w:rPr>
              <w:t>2000 hm</w:t>
            </w:r>
            <w:r>
              <w:rPr>
                <w:rFonts w:hint="eastAsia" w:cs="Times New Roman"/>
                <w:szCs w:val="24"/>
                <w:vertAlign w:val="superscript"/>
              </w:rPr>
              <w:t>2</w:t>
            </w:r>
            <w:r>
              <w:rPr>
                <w:rFonts w:hint="eastAsia"/>
                <w:szCs w:val="24"/>
              </w:rPr>
              <w:t>，占林地的</w:t>
            </w:r>
            <w:r>
              <w:rPr>
                <w:rFonts w:hint="eastAsia" w:cs="Times New Roman"/>
                <w:szCs w:val="24"/>
              </w:rPr>
              <w:t>22.61%</w:t>
            </w:r>
            <w:r>
              <w:rPr>
                <w:rFonts w:hint="eastAsia"/>
                <w:szCs w:val="24"/>
              </w:rPr>
              <w:t>；果树是该区的一大优势，主要树种有苹果、梨、葡萄、山楂、板栗等。共有各种鲜果树</w:t>
            </w:r>
            <w:r>
              <w:rPr>
                <w:rFonts w:hint="eastAsia" w:cs="Times New Roman"/>
                <w:szCs w:val="24"/>
              </w:rPr>
              <w:t>15.3</w:t>
            </w:r>
            <w:r>
              <w:rPr>
                <w:rFonts w:hint="eastAsia"/>
                <w:szCs w:val="24"/>
              </w:rPr>
              <w:t>万株，其中结果成树</w:t>
            </w:r>
            <w:r>
              <w:rPr>
                <w:rFonts w:hint="eastAsia" w:cs="Times New Roman"/>
                <w:szCs w:val="24"/>
              </w:rPr>
              <w:t>8.69</w:t>
            </w:r>
            <w:r>
              <w:rPr>
                <w:rFonts w:hint="eastAsia"/>
                <w:szCs w:val="24"/>
              </w:rPr>
              <w:t>万株，年产量</w:t>
            </w:r>
            <w:r>
              <w:rPr>
                <w:rFonts w:hint="eastAsia" w:cs="Times New Roman"/>
                <w:szCs w:val="24"/>
              </w:rPr>
              <w:t>631t</w:t>
            </w:r>
            <w:r>
              <w:rPr>
                <w:rFonts w:hint="eastAsia"/>
                <w:szCs w:val="24"/>
              </w:rPr>
              <w:t>，平均单产</w:t>
            </w:r>
            <w:r>
              <w:rPr>
                <w:rFonts w:hint="eastAsia" w:cs="Times New Roman"/>
                <w:szCs w:val="24"/>
              </w:rPr>
              <w:t>7.25kg</w:t>
            </w:r>
            <w:r>
              <w:rPr>
                <w:rFonts w:hint="eastAsia"/>
                <w:szCs w:val="24"/>
              </w:rPr>
              <w:t>；禾谷类植物以粱谷作物为主，经济作物以蔬菜为主，适宜种植小麦、玉米、大豆、地瓜、芝麻等农作物，年总播种面积</w:t>
            </w:r>
            <w:r>
              <w:rPr>
                <w:rFonts w:hint="eastAsia" w:cs="Times New Roman"/>
                <w:szCs w:val="24"/>
              </w:rPr>
              <w:t>789hm</w:t>
            </w:r>
            <w:r>
              <w:rPr>
                <w:rFonts w:hint="eastAsia" w:cs="Times New Roman"/>
                <w:szCs w:val="24"/>
                <w:vertAlign w:val="superscript"/>
              </w:rPr>
              <w:t>2</w:t>
            </w:r>
            <w:r>
              <w:rPr>
                <w:rFonts w:hint="eastAsia"/>
                <w:szCs w:val="24"/>
              </w:rPr>
              <w:t>，其中粱谷作物</w:t>
            </w:r>
            <w:r>
              <w:rPr>
                <w:rFonts w:hint="eastAsia" w:cs="Times New Roman"/>
                <w:szCs w:val="24"/>
              </w:rPr>
              <w:t>507hm</w:t>
            </w:r>
            <w:r>
              <w:rPr>
                <w:rFonts w:hint="eastAsia" w:cs="Times New Roman"/>
                <w:szCs w:val="24"/>
                <w:vertAlign w:val="superscript"/>
              </w:rPr>
              <w:t>2</w:t>
            </w:r>
            <w:r>
              <w:rPr>
                <w:rFonts w:hint="eastAsia"/>
                <w:szCs w:val="24"/>
              </w:rPr>
              <w:t>，经济作物</w:t>
            </w:r>
            <w:r>
              <w:rPr>
                <w:rFonts w:hint="eastAsia" w:cs="Times New Roman"/>
                <w:szCs w:val="24"/>
              </w:rPr>
              <w:t>15hm</w:t>
            </w:r>
            <w:r>
              <w:rPr>
                <w:rFonts w:hint="eastAsia" w:cs="Times New Roman"/>
                <w:szCs w:val="24"/>
                <w:vertAlign w:val="superscript"/>
              </w:rPr>
              <w:t>2</w:t>
            </w:r>
            <w:r>
              <w:rPr>
                <w:rFonts w:hint="eastAsia"/>
                <w:szCs w:val="24"/>
              </w:rPr>
              <w:t>，蔬菜</w:t>
            </w:r>
            <w:r>
              <w:rPr>
                <w:rFonts w:hint="eastAsia" w:cs="Times New Roman"/>
                <w:szCs w:val="24"/>
              </w:rPr>
              <w:t>280hm</w:t>
            </w:r>
            <w:r>
              <w:rPr>
                <w:rFonts w:hint="eastAsia" w:cs="Times New Roman"/>
                <w:szCs w:val="24"/>
                <w:vertAlign w:val="superscript"/>
              </w:rPr>
              <w:t>2</w:t>
            </w:r>
            <w:r>
              <w:rPr>
                <w:rFonts w:hint="eastAsia"/>
                <w:szCs w:val="24"/>
              </w:rPr>
              <w:t>。</w:t>
            </w:r>
          </w:p>
          <w:p>
            <w:pPr>
              <w:pStyle w:val="44"/>
              <w:spacing w:line="360" w:lineRule="auto"/>
              <w:ind w:firstLine="480"/>
              <w:rPr>
                <w:szCs w:val="24"/>
              </w:rPr>
            </w:pPr>
            <w:r>
              <w:rPr>
                <w:szCs w:val="24"/>
              </w:rPr>
              <w:t>7</w:t>
            </w:r>
            <w:r>
              <w:rPr>
                <w:rFonts w:hint="eastAsia"/>
                <w:szCs w:val="24"/>
              </w:rPr>
              <w:t>、矿产资源</w:t>
            </w:r>
          </w:p>
          <w:p>
            <w:pPr>
              <w:pStyle w:val="44"/>
              <w:spacing w:line="360" w:lineRule="auto"/>
              <w:ind w:firstLine="480"/>
              <w:rPr>
                <w:szCs w:val="24"/>
              </w:rPr>
            </w:pPr>
            <w:r>
              <w:rPr>
                <w:rFonts w:hint="eastAsia"/>
                <w:szCs w:val="24"/>
              </w:rPr>
              <w:t>营子矿区矿产资源种类全、储量大，有原煤、金属矿藏、建材原料等三大类，十几种。据勘测矿区原煤储量在亿吨以上，且埋藏浅，分布普遍。金属矿藏主要有铁、铜、金、银、钨、钼等，矿石品位高、储量大。建材原料主要有石灰石、紫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0" w:hRule="atLeast"/>
          <w:jc w:val="center"/>
        </w:trPr>
        <w:tc>
          <w:tcPr>
            <w:tcW w:w="8834" w:type="dxa"/>
          </w:tcPr>
          <w:p>
            <w:pPr>
              <w:spacing w:line="360" w:lineRule="auto"/>
              <w:rPr>
                <w:b/>
                <w:spacing w:val="-6"/>
                <w:sz w:val="24"/>
                <w:szCs w:val="24"/>
              </w:rPr>
            </w:pPr>
            <w:r>
              <w:rPr>
                <w:b/>
                <w:spacing w:val="-6"/>
                <w:sz w:val="24"/>
                <w:szCs w:val="24"/>
              </w:rPr>
              <w:t>社会环境简况(社会经济结构、教育、文化、文物保护等)：</w:t>
            </w:r>
          </w:p>
          <w:p>
            <w:pPr>
              <w:spacing w:line="360" w:lineRule="auto"/>
              <w:ind w:firstLine="480" w:firstLineChars="200"/>
              <w:rPr>
                <w:sz w:val="24"/>
                <w:szCs w:val="24"/>
              </w:rPr>
            </w:pPr>
            <w:r>
              <w:rPr>
                <w:sz w:val="24"/>
                <w:szCs w:val="24"/>
              </w:rPr>
              <w:t>（1）</w:t>
            </w:r>
            <w:r>
              <w:rPr>
                <w:rFonts w:hint="eastAsia"/>
                <w:sz w:val="24"/>
                <w:szCs w:val="24"/>
              </w:rPr>
              <w:t>行政区划</w:t>
            </w:r>
          </w:p>
          <w:p>
            <w:pPr>
              <w:spacing w:line="360" w:lineRule="auto"/>
              <w:ind w:firstLine="480" w:firstLineChars="200"/>
              <w:rPr>
                <w:sz w:val="24"/>
                <w:szCs w:val="24"/>
              </w:rPr>
            </w:pPr>
            <w:r>
              <w:rPr>
                <w:rFonts w:hint="eastAsia"/>
                <w:sz w:val="24"/>
                <w:szCs w:val="24"/>
              </w:rPr>
              <w:t>鹰手营子矿区辖</w:t>
            </w:r>
            <w:r>
              <w:rPr>
                <w:sz w:val="24"/>
                <w:szCs w:val="24"/>
              </w:rPr>
              <w:t>4</w:t>
            </w:r>
            <w:r>
              <w:rPr>
                <w:rFonts w:hint="eastAsia"/>
                <w:sz w:val="24"/>
                <w:szCs w:val="24"/>
              </w:rPr>
              <w:t>个镇，</w:t>
            </w:r>
            <w:r>
              <w:rPr>
                <w:sz w:val="24"/>
                <w:szCs w:val="24"/>
              </w:rPr>
              <w:t>1</w:t>
            </w:r>
            <w:r>
              <w:rPr>
                <w:rFonts w:hint="eastAsia"/>
                <w:sz w:val="24"/>
                <w:szCs w:val="24"/>
              </w:rPr>
              <w:t>个街道办事处，其中包含</w:t>
            </w:r>
            <w:r>
              <w:rPr>
                <w:sz w:val="24"/>
                <w:szCs w:val="24"/>
              </w:rPr>
              <w:t>15</w:t>
            </w:r>
            <w:r>
              <w:rPr>
                <w:rFonts w:hint="eastAsia"/>
                <w:sz w:val="24"/>
                <w:szCs w:val="24"/>
              </w:rPr>
              <w:t>个行政村、</w:t>
            </w:r>
            <w:r>
              <w:rPr>
                <w:sz w:val="24"/>
                <w:szCs w:val="24"/>
              </w:rPr>
              <w:t>11</w:t>
            </w:r>
            <w:r>
              <w:rPr>
                <w:rFonts w:hint="eastAsia"/>
                <w:sz w:val="24"/>
                <w:szCs w:val="24"/>
              </w:rPr>
              <w:t>个社区居委会。</w:t>
            </w:r>
            <w:r>
              <w:rPr>
                <w:sz w:val="24"/>
                <w:szCs w:val="24"/>
              </w:rPr>
              <w:t>2016</w:t>
            </w:r>
            <w:r>
              <w:rPr>
                <w:rFonts w:hint="eastAsia"/>
                <w:sz w:val="24"/>
                <w:szCs w:val="24"/>
              </w:rPr>
              <w:t>年，全区总户数</w:t>
            </w:r>
            <w:r>
              <w:rPr>
                <w:sz w:val="24"/>
                <w:szCs w:val="24"/>
              </w:rPr>
              <w:t>25570</w:t>
            </w:r>
            <w:r>
              <w:rPr>
                <w:rFonts w:hint="eastAsia"/>
                <w:sz w:val="24"/>
                <w:szCs w:val="24"/>
              </w:rPr>
              <w:t>户，总人口</w:t>
            </w:r>
            <w:r>
              <w:rPr>
                <w:sz w:val="24"/>
                <w:szCs w:val="24"/>
              </w:rPr>
              <w:t>65016</w:t>
            </w:r>
            <w:r>
              <w:rPr>
                <w:rFonts w:hint="eastAsia"/>
                <w:sz w:val="24"/>
                <w:szCs w:val="24"/>
              </w:rPr>
              <w:t>人，其中：乡村人口</w:t>
            </w:r>
            <w:r>
              <w:rPr>
                <w:sz w:val="24"/>
                <w:szCs w:val="24"/>
              </w:rPr>
              <w:t>5919</w:t>
            </w:r>
            <w:r>
              <w:rPr>
                <w:rFonts w:hint="eastAsia"/>
                <w:sz w:val="24"/>
                <w:szCs w:val="24"/>
              </w:rPr>
              <w:t>人，城镇人口</w:t>
            </w:r>
            <w:r>
              <w:rPr>
                <w:sz w:val="24"/>
                <w:szCs w:val="24"/>
              </w:rPr>
              <w:t>59097</w:t>
            </w:r>
            <w:r>
              <w:rPr>
                <w:rFonts w:hint="eastAsia"/>
                <w:sz w:val="24"/>
                <w:szCs w:val="24"/>
              </w:rPr>
              <w:t>人。矿区汉族人口所占比例最高，少数民族包括有满族、蒙古族、回族、苗族、壮族等。</w:t>
            </w:r>
          </w:p>
          <w:p>
            <w:pPr>
              <w:spacing w:line="360" w:lineRule="auto"/>
              <w:ind w:firstLine="480" w:firstLineChars="200"/>
              <w:rPr>
                <w:sz w:val="24"/>
                <w:szCs w:val="24"/>
              </w:rPr>
            </w:pPr>
            <w:r>
              <w:rPr>
                <w:sz w:val="24"/>
                <w:szCs w:val="24"/>
              </w:rPr>
              <w:t>（2）</w:t>
            </w:r>
            <w:r>
              <w:rPr>
                <w:rFonts w:hint="eastAsia"/>
                <w:sz w:val="24"/>
                <w:szCs w:val="24"/>
              </w:rPr>
              <w:t>经济发展</w:t>
            </w:r>
          </w:p>
          <w:p>
            <w:pPr>
              <w:spacing w:line="360" w:lineRule="auto"/>
              <w:ind w:firstLine="480" w:firstLineChars="200"/>
              <w:rPr>
                <w:sz w:val="24"/>
                <w:szCs w:val="24"/>
              </w:rPr>
            </w:pPr>
            <w:r>
              <w:rPr>
                <w:sz w:val="24"/>
                <w:szCs w:val="24"/>
              </w:rPr>
              <w:t>2016</w:t>
            </w:r>
            <w:r>
              <w:rPr>
                <w:rFonts w:hint="eastAsia"/>
                <w:sz w:val="24"/>
                <w:szCs w:val="24"/>
              </w:rPr>
              <w:t>年，全区实现生产总值</w:t>
            </w:r>
            <w:r>
              <w:rPr>
                <w:sz w:val="24"/>
                <w:szCs w:val="24"/>
              </w:rPr>
              <w:t>32</w:t>
            </w:r>
            <w:r>
              <w:rPr>
                <w:rFonts w:hint="eastAsia"/>
                <w:sz w:val="24"/>
                <w:szCs w:val="24"/>
              </w:rPr>
              <w:t>亿元，比上年增长</w:t>
            </w:r>
            <w:r>
              <w:rPr>
                <w:sz w:val="24"/>
                <w:szCs w:val="24"/>
              </w:rPr>
              <w:t>7.5%</w:t>
            </w:r>
            <w:r>
              <w:rPr>
                <w:rFonts w:hint="eastAsia"/>
                <w:sz w:val="24"/>
                <w:szCs w:val="24"/>
              </w:rPr>
              <w:t>。其中，第一产业增加值</w:t>
            </w:r>
            <w:r>
              <w:rPr>
                <w:sz w:val="24"/>
                <w:szCs w:val="24"/>
              </w:rPr>
              <w:t>0.93</w:t>
            </w:r>
            <w:r>
              <w:rPr>
                <w:rFonts w:hint="eastAsia"/>
                <w:sz w:val="24"/>
                <w:szCs w:val="24"/>
              </w:rPr>
              <w:t>亿元，增长</w:t>
            </w:r>
            <w:r>
              <w:rPr>
                <w:sz w:val="24"/>
                <w:szCs w:val="24"/>
              </w:rPr>
              <w:t>5.2%</w:t>
            </w:r>
            <w:r>
              <w:rPr>
                <w:rFonts w:hint="eastAsia"/>
                <w:sz w:val="24"/>
                <w:szCs w:val="24"/>
              </w:rPr>
              <w:t>；第二产业增加值</w:t>
            </w:r>
            <w:r>
              <w:rPr>
                <w:sz w:val="24"/>
                <w:szCs w:val="24"/>
              </w:rPr>
              <w:t>22.67</w:t>
            </w:r>
            <w:r>
              <w:rPr>
                <w:rFonts w:hint="eastAsia"/>
                <w:sz w:val="24"/>
                <w:szCs w:val="24"/>
              </w:rPr>
              <w:t>亿元，增长</w:t>
            </w:r>
            <w:r>
              <w:rPr>
                <w:sz w:val="24"/>
                <w:szCs w:val="24"/>
              </w:rPr>
              <w:t>7.1%</w:t>
            </w:r>
            <w:r>
              <w:rPr>
                <w:rFonts w:hint="eastAsia"/>
                <w:sz w:val="24"/>
                <w:szCs w:val="24"/>
              </w:rPr>
              <w:t>；第三产业增加值</w:t>
            </w:r>
            <w:r>
              <w:rPr>
                <w:sz w:val="24"/>
                <w:szCs w:val="24"/>
              </w:rPr>
              <w:t>8.41</w:t>
            </w:r>
            <w:r>
              <w:rPr>
                <w:rFonts w:hint="eastAsia"/>
                <w:sz w:val="24"/>
                <w:szCs w:val="24"/>
              </w:rPr>
              <w:t>亿元，增长</w:t>
            </w:r>
            <w:r>
              <w:rPr>
                <w:sz w:val="24"/>
                <w:szCs w:val="24"/>
              </w:rPr>
              <w:t>9.7%</w:t>
            </w:r>
            <w:r>
              <w:rPr>
                <w:rFonts w:hint="eastAsia"/>
                <w:sz w:val="24"/>
                <w:szCs w:val="24"/>
              </w:rPr>
              <w:t>。区域内自然资源丰富，矿产资源种类全、储量大，有原煤、金属矿藏、建材原料等三大类，十几种。据勘测矿区原煤储量在亿吨以上，且埋藏浅，分布普遍，是理想的工业和生活用煤。金属矿藏主要有铁、铜、金、银、钨、钼等，矿石品位高、储量大。现已探明铜矿石储量尚有</w:t>
            </w:r>
            <w:r>
              <w:rPr>
                <w:sz w:val="24"/>
                <w:szCs w:val="24"/>
              </w:rPr>
              <w:t>200</w:t>
            </w:r>
            <w:r>
              <w:rPr>
                <w:rFonts w:hint="eastAsia"/>
                <w:sz w:val="24"/>
                <w:szCs w:val="24"/>
              </w:rPr>
              <w:t>万吨、铁矿石储量</w:t>
            </w:r>
            <w:r>
              <w:rPr>
                <w:sz w:val="24"/>
                <w:szCs w:val="24"/>
              </w:rPr>
              <w:t>520</w:t>
            </w:r>
            <w:r>
              <w:rPr>
                <w:rFonts w:hint="eastAsia"/>
                <w:sz w:val="24"/>
                <w:szCs w:val="24"/>
              </w:rPr>
              <w:t>万吨，金、银、钨、钼等稀有金属储量也较为可观。石灰石，含钙高、杂质少，是生产水泥、石灰等建材必不可少的原料，储量在</w:t>
            </w:r>
            <w:r>
              <w:rPr>
                <w:sz w:val="24"/>
                <w:szCs w:val="24"/>
              </w:rPr>
              <w:t>5000</w:t>
            </w:r>
            <w:r>
              <w:rPr>
                <w:rFonts w:hint="eastAsia"/>
                <w:sz w:val="24"/>
                <w:szCs w:val="24"/>
              </w:rPr>
              <w:t>万吨以上。紫砂，颜色纯正、质地优良、开采方便、易于造型，是生产日用和建筑陶瓷制品的优质原料，储量在</w:t>
            </w:r>
            <w:r>
              <w:rPr>
                <w:sz w:val="24"/>
                <w:szCs w:val="24"/>
              </w:rPr>
              <w:t>1.5</w:t>
            </w:r>
            <w:r>
              <w:rPr>
                <w:rFonts w:hint="eastAsia"/>
                <w:sz w:val="24"/>
                <w:szCs w:val="24"/>
              </w:rPr>
              <w:t>亿吨以上。此外，营子区有大量的尾矿、煤矸石和粉煤灰等废渣资源亦是生产新型建材的上乘原料。区内山场开阔，树种繁多，现有山场</w:t>
            </w:r>
            <w:r>
              <w:rPr>
                <w:sz w:val="24"/>
                <w:szCs w:val="24"/>
              </w:rPr>
              <w:t>13</w:t>
            </w:r>
            <w:r>
              <w:rPr>
                <w:rFonts w:hint="eastAsia"/>
                <w:sz w:val="24"/>
                <w:szCs w:val="24"/>
              </w:rPr>
              <w:t>万亩，其中林地</w:t>
            </w:r>
            <w:r>
              <w:rPr>
                <w:sz w:val="24"/>
                <w:szCs w:val="24"/>
              </w:rPr>
              <w:t>9.7</w:t>
            </w:r>
            <w:r>
              <w:rPr>
                <w:rFonts w:hint="eastAsia"/>
                <w:sz w:val="24"/>
                <w:szCs w:val="24"/>
              </w:rPr>
              <w:t>万亩，林木蓄积量</w:t>
            </w:r>
            <w:r>
              <w:rPr>
                <w:sz w:val="24"/>
                <w:szCs w:val="24"/>
              </w:rPr>
              <w:t>15</w:t>
            </w:r>
            <w:r>
              <w:rPr>
                <w:rFonts w:hint="eastAsia"/>
                <w:sz w:val="24"/>
                <w:szCs w:val="24"/>
              </w:rPr>
              <w:t>万立方米，现有果树</w:t>
            </w:r>
            <w:r>
              <w:rPr>
                <w:sz w:val="24"/>
                <w:szCs w:val="24"/>
              </w:rPr>
              <w:t>150</w:t>
            </w:r>
            <w:r>
              <w:rPr>
                <w:rFonts w:hint="eastAsia"/>
                <w:sz w:val="24"/>
                <w:szCs w:val="24"/>
              </w:rPr>
              <w:t>多万株，具有发展果品加工业的巨大潜力。是一个</w:t>
            </w:r>
            <w:r>
              <w:rPr>
                <w:sz w:val="24"/>
                <w:szCs w:val="24"/>
              </w:rPr>
              <w:t>50</w:t>
            </w:r>
            <w:r>
              <w:rPr>
                <w:rFonts w:hint="eastAsia"/>
                <w:sz w:val="24"/>
                <w:szCs w:val="24"/>
              </w:rPr>
              <w:t>年代末兴起的工矿区。矿产资源的开发、利用和产业结构调整，逐步形成了以建材、机械、食品、矿业为支柱产业具有区域特点的多层次经济格局。</w:t>
            </w:r>
          </w:p>
          <w:p>
            <w:pPr>
              <w:spacing w:line="360" w:lineRule="auto"/>
              <w:ind w:firstLine="480" w:firstLineChars="200"/>
              <w:rPr>
                <w:sz w:val="24"/>
                <w:szCs w:val="24"/>
              </w:rPr>
            </w:pPr>
            <w:r>
              <w:rPr>
                <w:rFonts w:hint="eastAsia"/>
                <w:sz w:val="24"/>
                <w:szCs w:val="24"/>
              </w:rPr>
              <w:t>（3）基础设施条件</w:t>
            </w:r>
          </w:p>
          <w:p>
            <w:pPr>
              <w:spacing w:line="360" w:lineRule="auto"/>
              <w:ind w:firstLine="480" w:firstLineChars="200"/>
              <w:rPr>
                <w:sz w:val="24"/>
                <w:szCs w:val="24"/>
              </w:rPr>
            </w:pPr>
            <w:r>
              <w:rPr>
                <w:sz w:val="24"/>
                <w:szCs w:val="24"/>
              </w:rPr>
              <w:t>经过鹰手营子矿区的公路主要有</w:t>
            </w:r>
            <w:r>
              <w:fldChar w:fldCharType="begin"/>
            </w:r>
            <w:r>
              <w:instrText xml:space="preserve"> HYPERLINK "https://baike.baidu.com/item/112%E5%9B%BD%E9%81%93" \t "_blank" </w:instrText>
            </w:r>
            <w:r>
              <w:fldChar w:fldCharType="separate"/>
            </w:r>
            <w:r>
              <w:rPr>
                <w:sz w:val="24"/>
                <w:szCs w:val="24"/>
              </w:rPr>
              <w:t>112国道</w:t>
            </w:r>
            <w:r>
              <w:rPr>
                <w:sz w:val="24"/>
                <w:szCs w:val="24"/>
              </w:rPr>
              <w:fldChar w:fldCharType="end"/>
            </w:r>
            <w:r>
              <w:rPr>
                <w:sz w:val="24"/>
                <w:szCs w:val="24"/>
              </w:rPr>
              <w:t>和</w:t>
            </w:r>
            <w:r>
              <w:fldChar w:fldCharType="begin"/>
            </w:r>
            <w:r>
              <w:instrText xml:space="preserve"> HYPERLINK "https://baike.baidu.com/item/%E6%B4%A5%E5%9B%B4%E5%85%AC%E8%B7%AF" \t "_blank" </w:instrText>
            </w:r>
            <w:r>
              <w:fldChar w:fldCharType="separate"/>
            </w:r>
            <w:r>
              <w:rPr>
                <w:sz w:val="24"/>
                <w:szCs w:val="24"/>
              </w:rPr>
              <w:t>津围公路</w:t>
            </w:r>
            <w:r>
              <w:rPr>
                <w:sz w:val="24"/>
                <w:szCs w:val="24"/>
              </w:rPr>
              <w:fldChar w:fldCharType="end"/>
            </w:r>
            <w:r>
              <w:rPr>
                <w:sz w:val="24"/>
                <w:szCs w:val="24"/>
              </w:rPr>
              <w:t>，经过鹰手营子矿区的铁路有</w:t>
            </w:r>
            <w:r>
              <w:fldChar w:fldCharType="begin"/>
            </w:r>
            <w:r>
              <w:instrText xml:space="preserve"> HYPERLINK "https://baike.baidu.com/item/%E4%BA%AC%E6%89%BF%E9%93%81%E8%B7%AF" \t "_blank" </w:instrText>
            </w:r>
            <w:r>
              <w:fldChar w:fldCharType="separate"/>
            </w:r>
            <w:r>
              <w:rPr>
                <w:sz w:val="24"/>
                <w:szCs w:val="24"/>
              </w:rPr>
              <w:t>京承铁路</w:t>
            </w:r>
            <w:r>
              <w:rPr>
                <w:sz w:val="24"/>
                <w:szCs w:val="24"/>
              </w:rPr>
              <w:fldChar w:fldCharType="end"/>
            </w:r>
            <w:r>
              <w:rPr>
                <w:sz w:val="24"/>
                <w:szCs w:val="24"/>
              </w:rPr>
              <w:t>。截至2013年，鹰手营子矿区公路通车里程227公里</w:t>
            </w:r>
            <w:r>
              <w:rPr>
                <w:rFonts w:hint="eastAsia"/>
                <w:sz w:val="24"/>
                <w:szCs w:val="24"/>
              </w:rPr>
              <w:t>。</w:t>
            </w:r>
          </w:p>
          <w:p>
            <w:pPr>
              <w:spacing w:line="360" w:lineRule="auto"/>
              <w:ind w:firstLine="480" w:firstLineChars="200"/>
              <w:rPr>
                <w:sz w:val="24"/>
                <w:szCs w:val="24"/>
              </w:rPr>
            </w:pPr>
            <w:r>
              <w:rPr>
                <w:rFonts w:hint="eastAsia"/>
                <w:sz w:val="24"/>
                <w:szCs w:val="24"/>
              </w:rPr>
              <w:t>（4）文化教育</w:t>
            </w:r>
          </w:p>
          <w:p>
            <w:pPr>
              <w:pStyle w:val="105"/>
              <w:spacing w:line="360" w:lineRule="auto"/>
              <w:ind w:firstLine="480" w:firstLineChars="200"/>
              <w:jc w:val="both"/>
              <w:rPr>
                <w:rFonts w:ascii="Times New Roman" w:cs="宋体e眠副浡渀."/>
                <w:color w:val="auto"/>
              </w:rPr>
            </w:pPr>
            <w:r>
              <w:rPr>
                <w:rFonts w:ascii="Times New Roman"/>
                <w:color w:val="auto"/>
              </w:rPr>
              <w:t>“</w:t>
            </w:r>
            <w:r>
              <w:rPr>
                <w:rFonts w:hint="eastAsia" w:ascii="Times New Roman" w:cs="宋体e眠副浡渀."/>
                <w:color w:val="auto"/>
              </w:rPr>
              <w:t>十二五</w:t>
            </w:r>
            <w:r>
              <w:rPr>
                <w:rFonts w:ascii="Times New Roman"/>
                <w:color w:val="auto"/>
              </w:rPr>
              <w:t>”</w:t>
            </w:r>
            <w:r>
              <w:rPr>
                <w:rFonts w:hint="eastAsia" w:ascii="Times New Roman" w:cs="宋体e眠副浡渀."/>
                <w:color w:val="auto"/>
              </w:rPr>
              <w:t>期间，文化教育水平大幅提升，相继投资</w:t>
            </w:r>
            <w:r>
              <w:rPr>
                <w:rFonts w:ascii="Times New Roman"/>
                <w:color w:val="auto"/>
              </w:rPr>
              <w:t>2</w:t>
            </w:r>
            <w:r>
              <w:rPr>
                <w:rFonts w:hint="eastAsia" w:ascii="Times New Roman" w:cs="宋体e眠副浡渀."/>
                <w:color w:val="auto"/>
              </w:rPr>
              <w:t>亿元，实施青少年活动中心、滨河路小学、金扇子小学、实验幼儿园、综合展馆等项目。第七中学、逸夫实验小学被评为</w:t>
            </w:r>
            <w:r>
              <w:rPr>
                <w:rFonts w:ascii="Times New Roman"/>
                <w:color w:val="auto"/>
              </w:rPr>
              <w:t>“</w:t>
            </w:r>
            <w:r>
              <w:rPr>
                <w:rFonts w:hint="eastAsia" w:ascii="Times New Roman" w:cs="宋体e眠副浡渀."/>
                <w:color w:val="auto"/>
              </w:rPr>
              <w:t>河北省首批素质教育示范校</w:t>
            </w:r>
            <w:r>
              <w:rPr>
                <w:rFonts w:ascii="Times New Roman"/>
                <w:color w:val="auto"/>
              </w:rPr>
              <w:t>”</w:t>
            </w:r>
            <w:r>
              <w:rPr>
                <w:rFonts w:hint="eastAsia" w:ascii="Times New Roman" w:cs="宋体e眠副浡渀."/>
                <w:color w:val="auto"/>
              </w:rPr>
              <w:t>，第七中学连续三年中考综合排名位居全市前三名。我区被评为</w:t>
            </w:r>
            <w:r>
              <w:rPr>
                <w:rFonts w:ascii="Times New Roman"/>
                <w:color w:val="auto"/>
              </w:rPr>
              <w:t>“</w:t>
            </w:r>
            <w:r>
              <w:rPr>
                <w:rFonts w:hint="eastAsia" w:ascii="Times New Roman" w:cs="宋体e眠副浡渀."/>
                <w:color w:val="auto"/>
              </w:rPr>
              <w:t>全国群众体育先进单位</w:t>
            </w:r>
            <w:r>
              <w:rPr>
                <w:rFonts w:ascii="Times New Roman"/>
                <w:color w:val="auto"/>
              </w:rPr>
              <w:t>”</w:t>
            </w:r>
            <w:r>
              <w:rPr>
                <w:rFonts w:hint="eastAsia" w:ascii="Times New Roman" w:cs="宋体e眠副浡渀."/>
                <w:color w:val="auto"/>
              </w:rPr>
              <w:t>、</w:t>
            </w:r>
            <w:r>
              <w:rPr>
                <w:rFonts w:ascii="Times New Roman"/>
                <w:color w:val="auto"/>
              </w:rPr>
              <w:t>“</w:t>
            </w:r>
            <w:r>
              <w:rPr>
                <w:rFonts w:hint="eastAsia" w:ascii="Times New Roman" w:cs="宋体e眠副浡渀."/>
                <w:color w:val="auto"/>
              </w:rPr>
              <w:t>河北省公共文化服务示范区</w:t>
            </w:r>
            <w:r>
              <w:rPr>
                <w:rFonts w:ascii="Times New Roman"/>
                <w:color w:val="auto"/>
              </w:rPr>
              <w:t>”</w:t>
            </w:r>
            <w:r>
              <w:rPr>
                <w:rFonts w:hint="eastAsia" w:ascii="Times New Roman" w:cs="宋体e眠副浡渀."/>
                <w:color w:val="auto"/>
              </w:rPr>
              <w:t>，同时入选</w:t>
            </w:r>
            <w:r>
              <w:rPr>
                <w:rFonts w:ascii="Times New Roman"/>
                <w:color w:val="auto"/>
              </w:rPr>
              <w:t>“</w:t>
            </w:r>
            <w:r>
              <w:rPr>
                <w:rFonts w:hint="eastAsia" w:ascii="Times New Roman" w:cs="宋体e眠副浡渀."/>
                <w:color w:val="auto"/>
              </w:rPr>
              <w:t>河北省县域公共文化建设二十强</w:t>
            </w:r>
            <w:r>
              <w:rPr>
                <w:rFonts w:ascii="Times New Roman"/>
                <w:color w:val="auto"/>
              </w:rPr>
              <w:t>”</w:t>
            </w:r>
            <w:r>
              <w:rPr>
                <w:rFonts w:hint="eastAsia" w:ascii="Times New Roman" w:cs="宋体e眠副浡渀."/>
                <w:color w:val="auto"/>
              </w:rPr>
              <w:t>，怡达山楂文化产业园列入承德市首批文化产业示范基地。</w:t>
            </w:r>
            <w:r>
              <w:rPr>
                <w:rFonts w:ascii="Times New Roman" w:cs="宋体e眠副浡渀."/>
                <w:color w:val="auto"/>
              </w:rPr>
              <w:t xml:space="preserve"> </w:t>
            </w:r>
          </w:p>
          <w:p>
            <w:pPr>
              <w:spacing w:line="360" w:lineRule="auto"/>
              <w:ind w:firstLine="480" w:firstLineChars="200"/>
              <w:rPr>
                <w:sz w:val="24"/>
                <w:szCs w:val="24"/>
              </w:rPr>
            </w:pPr>
            <w:r>
              <w:rPr>
                <w:rFonts w:hint="eastAsia"/>
                <w:sz w:val="24"/>
                <w:szCs w:val="24"/>
              </w:rPr>
              <w:t>（5）医疗卫生</w:t>
            </w:r>
          </w:p>
          <w:p>
            <w:pPr>
              <w:pStyle w:val="105"/>
              <w:spacing w:line="360" w:lineRule="auto"/>
              <w:ind w:firstLine="480" w:firstLineChars="200"/>
              <w:jc w:val="both"/>
              <w:rPr>
                <w:rFonts w:ascii="Times New Roman"/>
                <w:color w:val="auto"/>
              </w:rPr>
            </w:pPr>
            <w:bookmarkStart w:id="8" w:name="7-3"/>
            <w:bookmarkEnd w:id="8"/>
            <w:bookmarkStart w:id="9" w:name="sub981753_7_3"/>
            <w:bookmarkEnd w:id="9"/>
            <w:bookmarkStart w:id="10" w:name="7_3"/>
            <w:bookmarkEnd w:id="10"/>
            <w:bookmarkStart w:id="11" w:name="卫生事业"/>
            <w:bookmarkEnd w:id="11"/>
            <w:r>
              <w:rPr>
                <w:rFonts w:hint="eastAsia" w:ascii="Times New Roman"/>
                <w:color w:val="auto"/>
              </w:rPr>
              <w:t>近年来医疗卫生事业长足发展，累计投资</w:t>
            </w:r>
            <w:r>
              <w:rPr>
                <w:rFonts w:ascii="Times New Roman" w:cs="Times New Roman"/>
                <w:color w:val="auto"/>
              </w:rPr>
              <w:t>2.1</w:t>
            </w:r>
            <w:r>
              <w:rPr>
                <w:rFonts w:hint="eastAsia" w:ascii="Times New Roman"/>
                <w:color w:val="auto"/>
              </w:rPr>
              <w:t>亿元实施第六医院综合住院楼、治未病中心、镇级卫生院等项目，推进公立医院改革，实现了医疗服务机构城乡全覆盖和基本药物零差率销售，在全市范围内率先完成村级卫生室标准化建设。第六医院与北京航天中心医院建立技术协作医院，医疗医技水平大幅提高。城乡居民健康档案建档率达</w:t>
            </w:r>
            <w:r>
              <w:rPr>
                <w:rFonts w:ascii="Times New Roman" w:cs="Times New Roman"/>
                <w:color w:val="auto"/>
              </w:rPr>
              <w:t>93%</w:t>
            </w:r>
            <w:r>
              <w:rPr>
                <w:rFonts w:hint="eastAsia" w:ascii="Times New Roman"/>
                <w:color w:val="auto"/>
              </w:rPr>
              <w:t>，</w:t>
            </w:r>
            <w:r>
              <w:rPr>
                <w:rFonts w:ascii="Times New Roman" w:cs="Times New Roman"/>
                <w:color w:val="auto"/>
              </w:rPr>
              <w:t>65</w:t>
            </w:r>
            <w:r>
              <w:rPr>
                <w:rFonts w:hint="eastAsia" w:ascii="Times New Roman"/>
                <w:color w:val="auto"/>
              </w:rPr>
              <w:t>岁以上老人规范化管理率达</w:t>
            </w:r>
            <w:r>
              <w:rPr>
                <w:rFonts w:ascii="Times New Roman" w:cs="Times New Roman"/>
                <w:color w:val="auto"/>
              </w:rPr>
              <w:t>90%</w:t>
            </w:r>
            <w:r>
              <w:rPr>
                <w:rFonts w:hint="eastAsia" w:ascii="Times New Roman"/>
                <w:color w:val="auto"/>
              </w:rPr>
              <w:t>。</w:t>
            </w:r>
            <w:r>
              <w:rPr>
                <w:rFonts w:ascii="Times New Roman"/>
                <w:color w:val="auto"/>
              </w:rPr>
              <w:t xml:space="preserve"> </w:t>
            </w:r>
          </w:p>
          <w:p>
            <w:pPr>
              <w:spacing w:line="360" w:lineRule="auto"/>
              <w:ind w:firstLine="480" w:firstLineChars="200"/>
              <w:rPr>
                <w:sz w:val="24"/>
                <w:szCs w:val="24"/>
              </w:rPr>
            </w:pPr>
            <w:r>
              <w:rPr>
                <w:rFonts w:hint="eastAsia"/>
                <w:sz w:val="24"/>
                <w:szCs w:val="24"/>
              </w:rPr>
              <w:t>评价区域内无文物保护区、风景旅游区及自然保护区等单位。</w:t>
            </w:r>
          </w:p>
          <w:p>
            <w:pPr>
              <w:spacing w:line="360" w:lineRule="auto"/>
              <w:ind w:firstLine="480" w:firstLineChars="200"/>
              <w:rPr>
                <w:sz w:val="24"/>
                <w:szCs w:val="24"/>
              </w:rPr>
            </w:pPr>
            <w:r>
              <w:rPr>
                <w:rFonts w:hint="eastAsia"/>
                <w:sz w:val="24"/>
                <w:szCs w:val="24"/>
              </w:rPr>
              <w:t>（6）鹰手营子矿区垃圾填埋场</w:t>
            </w:r>
          </w:p>
          <w:p>
            <w:pPr>
              <w:spacing w:line="360" w:lineRule="auto"/>
              <w:ind w:firstLine="480" w:firstLineChars="200"/>
              <w:rPr>
                <w:sz w:val="24"/>
                <w:szCs w:val="24"/>
                <w:highlight w:val="yellow"/>
              </w:rPr>
            </w:pPr>
            <w:r>
              <w:rPr>
                <w:rFonts w:hint="eastAsia"/>
                <w:sz w:val="24"/>
                <w:szCs w:val="24"/>
              </w:rPr>
              <w:t>污水收集至废水池，定时再用专用运输车运去鹰手营子矿区垃圾填埋场渗滤液处理站统一进行处理。垃圾填埋场位于承德市鹰手因子矿区营子镇老爷庙村梁厚朴西沟内，中心地理坐标东经</w:t>
            </w:r>
            <w:r>
              <w:rPr>
                <w:sz w:val="24"/>
                <w:szCs w:val="24"/>
              </w:rPr>
              <w:t>117°40′27″、北纬40°33′04″</w:t>
            </w:r>
            <w:r>
              <w:rPr>
                <w:rFonts w:hint="eastAsia"/>
                <w:sz w:val="24"/>
                <w:szCs w:val="24"/>
              </w:rPr>
              <w:t>，填埋场区总占地面积3</w:t>
            </w:r>
            <w:r>
              <w:rPr>
                <w:sz w:val="24"/>
                <w:szCs w:val="24"/>
              </w:rPr>
              <w:t>3350</w:t>
            </w:r>
            <w:r>
              <w:rPr>
                <w:rFonts w:hint="eastAsia"/>
                <w:sz w:val="24"/>
                <w:szCs w:val="24"/>
              </w:rPr>
              <w:t>m</w:t>
            </w:r>
            <w:r>
              <w:rPr>
                <w:sz w:val="24"/>
                <w:szCs w:val="24"/>
                <w:vertAlign w:val="superscript"/>
              </w:rPr>
              <w:t>2</w:t>
            </w:r>
            <w:r>
              <w:rPr>
                <w:rFonts w:hint="eastAsia"/>
                <w:sz w:val="24"/>
                <w:szCs w:val="24"/>
              </w:rPr>
              <w:t>（填埋区占地2</w:t>
            </w:r>
            <w:r>
              <w:rPr>
                <w:sz w:val="24"/>
                <w:szCs w:val="24"/>
              </w:rPr>
              <w:t>9628</w:t>
            </w:r>
            <w:r>
              <w:rPr>
                <w:rFonts w:hint="eastAsia"/>
                <w:sz w:val="24"/>
                <w:szCs w:val="24"/>
              </w:rPr>
              <w:t xml:space="preserve"> m</w:t>
            </w:r>
            <w:r>
              <w:rPr>
                <w:sz w:val="24"/>
                <w:szCs w:val="24"/>
                <w:vertAlign w:val="superscript"/>
              </w:rPr>
              <w:t>2</w:t>
            </w:r>
            <w:r>
              <w:rPr>
                <w:rFonts w:hint="eastAsia"/>
                <w:sz w:val="24"/>
                <w:szCs w:val="24"/>
              </w:rPr>
              <w:t>，生产管理区占地3</w:t>
            </w:r>
            <w:r>
              <w:rPr>
                <w:sz w:val="24"/>
                <w:szCs w:val="24"/>
              </w:rPr>
              <w:t>722</w:t>
            </w:r>
            <w:r>
              <w:rPr>
                <w:rFonts w:hint="eastAsia"/>
                <w:sz w:val="24"/>
                <w:szCs w:val="24"/>
              </w:rPr>
              <w:t xml:space="preserve"> m</w:t>
            </w:r>
            <w:r>
              <w:rPr>
                <w:sz w:val="24"/>
                <w:szCs w:val="24"/>
                <w:vertAlign w:val="superscript"/>
              </w:rPr>
              <w:t>2</w:t>
            </w:r>
            <w:r>
              <w:rPr>
                <w:rFonts w:hint="eastAsia"/>
                <w:sz w:val="24"/>
                <w:szCs w:val="24"/>
              </w:rPr>
              <w:t>），存土场占地6</w:t>
            </w:r>
            <w:r>
              <w:rPr>
                <w:sz w:val="24"/>
                <w:szCs w:val="24"/>
              </w:rPr>
              <w:t>000</w:t>
            </w:r>
            <w:r>
              <w:rPr>
                <w:rFonts w:hint="eastAsia"/>
                <w:sz w:val="24"/>
                <w:szCs w:val="24"/>
              </w:rPr>
              <w:t xml:space="preserve"> m</w:t>
            </w:r>
            <w:r>
              <w:rPr>
                <w:sz w:val="24"/>
                <w:szCs w:val="24"/>
                <w:vertAlign w:val="superscript"/>
              </w:rPr>
              <w:t>2</w:t>
            </w:r>
            <w:r>
              <w:rPr>
                <w:rFonts w:hint="eastAsia"/>
                <w:sz w:val="24"/>
                <w:szCs w:val="24"/>
              </w:rPr>
              <w:t>，填埋区总库容量81.4万m</w:t>
            </w:r>
            <w:r>
              <w:rPr>
                <w:rFonts w:hint="eastAsia"/>
                <w:sz w:val="24"/>
                <w:szCs w:val="24"/>
                <w:vertAlign w:val="superscript"/>
              </w:rPr>
              <w:t>3</w:t>
            </w:r>
            <w:r>
              <w:rPr>
                <w:rFonts w:hint="eastAsia"/>
                <w:sz w:val="24"/>
                <w:szCs w:val="24"/>
              </w:rPr>
              <w:t>，设计服务年限1</w:t>
            </w:r>
            <w:r>
              <w:rPr>
                <w:sz w:val="24"/>
                <w:szCs w:val="24"/>
              </w:rPr>
              <w:t>5</w:t>
            </w:r>
            <w:r>
              <w:rPr>
                <w:rFonts w:hint="eastAsia"/>
                <w:sz w:val="24"/>
                <w:szCs w:val="24"/>
              </w:rPr>
              <w:t>年。渗滤液处理站采用生化处理工艺，渗滤液处理量3</w:t>
            </w:r>
            <w:r>
              <w:rPr>
                <w:sz w:val="24"/>
                <w:szCs w:val="24"/>
              </w:rPr>
              <w:t>0</w:t>
            </w:r>
            <w:r>
              <w:rPr>
                <w:rFonts w:hint="eastAsia"/>
                <w:sz w:val="24"/>
                <w:szCs w:val="24"/>
              </w:rPr>
              <w:t>m</w:t>
            </w:r>
            <w:r>
              <w:rPr>
                <w:rFonts w:hint="eastAsia"/>
                <w:sz w:val="24"/>
                <w:szCs w:val="24"/>
                <w:vertAlign w:val="superscript"/>
              </w:rPr>
              <w:t>3</w:t>
            </w:r>
            <w:r>
              <w:rPr>
                <w:rFonts w:hint="eastAsia"/>
                <w:sz w:val="24"/>
                <w:szCs w:val="24"/>
              </w:rPr>
              <w:t>/d，进水水质：COD</w:t>
            </w:r>
            <w:r>
              <w:rPr>
                <w:rFonts w:hint="eastAsia"/>
                <w:sz w:val="24"/>
                <w:szCs w:val="24"/>
                <w:vertAlign w:val="subscript"/>
              </w:rPr>
              <w:t>cr</w:t>
            </w:r>
            <w:r>
              <w:rPr>
                <w:rFonts w:hint="eastAsia"/>
                <w:sz w:val="24"/>
                <w:szCs w:val="24"/>
              </w:rPr>
              <w:t>（7</w:t>
            </w:r>
            <w:r>
              <w:rPr>
                <w:sz w:val="24"/>
                <w:szCs w:val="24"/>
              </w:rPr>
              <w:t>000</w:t>
            </w:r>
            <w:r>
              <w:rPr>
                <w:rFonts w:hint="eastAsia"/>
                <w:sz w:val="24"/>
                <w:szCs w:val="24"/>
              </w:rPr>
              <w:t>mg</w:t>
            </w:r>
            <w:r>
              <w:rPr>
                <w:sz w:val="24"/>
                <w:szCs w:val="24"/>
              </w:rPr>
              <w:t>/</w:t>
            </w:r>
            <w:r>
              <w:rPr>
                <w:rFonts w:hint="eastAsia"/>
                <w:sz w:val="24"/>
                <w:szCs w:val="24"/>
              </w:rPr>
              <w:t>L）、BOD</w:t>
            </w:r>
            <w:r>
              <w:rPr>
                <w:sz w:val="24"/>
                <w:szCs w:val="24"/>
                <w:vertAlign w:val="subscript"/>
              </w:rPr>
              <w:t>5</w:t>
            </w:r>
            <w:r>
              <w:rPr>
                <w:rFonts w:hint="eastAsia"/>
                <w:sz w:val="24"/>
                <w:szCs w:val="24"/>
              </w:rPr>
              <w:t>（3</w:t>
            </w:r>
            <w:r>
              <w:rPr>
                <w:sz w:val="24"/>
                <w:szCs w:val="24"/>
              </w:rPr>
              <w:t>500</w:t>
            </w:r>
            <w:r>
              <w:rPr>
                <w:rFonts w:hint="eastAsia"/>
                <w:sz w:val="24"/>
                <w:szCs w:val="24"/>
              </w:rPr>
              <w:t>mg</w:t>
            </w:r>
            <w:r>
              <w:rPr>
                <w:sz w:val="24"/>
                <w:szCs w:val="24"/>
              </w:rPr>
              <w:t>/</w:t>
            </w:r>
            <w:r>
              <w:rPr>
                <w:rFonts w:hint="eastAsia"/>
                <w:sz w:val="24"/>
                <w:szCs w:val="24"/>
              </w:rPr>
              <w:t>L）、SS（6</w:t>
            </w:r>
            <w:r>
              <w:rPr>
                <w:sz w:val="24"/>
                <w:szCs w:val="24"/>
              </w:rPr>
              <w:t>00</w:t>
            </w:r>
            <w:r>
              <w:rPr>
                <w:rFonts w:hint="eastAsia"/>
                <w:sz w:val="24"/>
                <w:szCs w:val="24"/>
              </w:rPr>
              <w:t>mg</w:t>
            </w:r>
            <w:r>
              <w:rPr>
                <w:sz w:val="24"/>
                <w:szCs w:val="24"/>
              </w:rPr>
              <w:t>/</w:t>
            </w:r>
            <w:r>
              <w:rPr>
                <w:rFonts w:hint="eastAsia"/>
                <w:sz w:val="24"/>
                <w:szCs w:val="24"/>
              </w:rPr>
              <w:t>L）、NH</w:t>
            </w:r>
            <w:r>
              <w:rPr>
                <w:rFonts w:hint="eastAsia"/>
                <w:sz w:val="24"/>
                <w:szCs w:val="24"/>
                <w:vertAlign w:val="subscript"/>
              </w:rPr>
              <w:t>3</w:t>
            </w:r>
            <w:r>
              <w:rPr>
                <w:sz w:val="24"/>
                <w:szCs w:val="24"/>
              </w:rPr>
              <w:t>-</w:t>
            </w:r>
            <w:r>
              <w:rPr>
                <w:rFonts w:hint="eastAsia"/>
                <w:sz w:val="24"/>
                <w:szCs w:val="24"/>
              </w:rPr>
              <w:t>N（2</w:t>
            </w:r>
            <w:r>
              <w:rPr>
                <w:sz w:val="24"/>
                <w:szCs w:val="24"/>
              </w:rPr>
              <w:t>00</w:t>
            </w:r>
            <w:r>
              <w:rPr>
                <w:rFonts w:hint="eastAsia"/>
                <w:sz w:val="24"/>
                <w:szCs w:val="24"/>
              </w:rPr>
              <w:t>mg</w:t>
            </w:r>
            <w:r>
              <w:rPr>
                <w:sz w:val="24"/>
                <w:szCs w:val="24"/>
              </w:rPr>
              <w:t>/</w:t>
            </w:r>
            <w:r>
              <w:rPr>
                <w:rFonts w:hint="eastAsia"/>
                <w:sz w:val="24"/>
                <w:szCs w:val="24"/>
              </w:rPr>
              <w:t>L）。设计出水水质符合污水处理厂工艺设计进水水质指标（GB</w:t>
            </w:r>
            <w:r>
              <w:rPr>
                <w:sz w:val="24"/>
                <w:szCs w:val="24"/>
              </w:rPr>
              <w:t>16889-1997</w:t>
            </w:r>
            <w:r>
              <w:rPr>
                <w:rFonts w:hint="eastAsia"/>
                <w:sz w:val="24"/>
                <w:szCs w:val="24"/>
              </w:rPr>
              <w:t>）要求，其中COD</w:t>
            </w:r>
            <w:r>
              <w:rPr>
                <w:rFonts w:hint="eastAsia"/>
                <w:sz w:val="24"/>
                <w:szCs w:val="24"/>
                <w:vertAlign w:val="subscript"/>
              </w:rPr>
              <w:t>cr</w:t>
            </w:r>
            <w:r>
              <w:rPr>
                <w:rFonts w:hint="eastAsia"/>
                <w:sz w:val="24"/>
                <w:szCs w:val="24"/>
              </w:rPr>
              <w:t>（</w:t>
            </w:r>
            <w:r>
              <w:rPr>
                <w:sz w:val="24"/>
                <w:szCs w:val="24"/>
              </w:rPr>
              <w:t>400</w:t>
            </w:r>
            <w:r>
              <w:rPr>
                <w:rFonts w:hint="eastAsia"/>
                <w:sz w:val="24"/>
                <w:szCs w:val="24"/>
              </w:rPr>
              <w:t>mg</w:t>
            </w:r>
            <w:r>
              <w:rPr>
                <w:sz w:val="24"/>
                <w:szCs w:val="24"/>
              </w:rPr>
              <w:t>/</w:t>
            </w:r>
            <w:r>
              <w:rPr>
                <w:rFonts w:hint="eastAsia"/>
                <w:sz w:val="24"/>
                <w:szCs w:val="24"/>
              </w:rPr>
              <w:t>L）、BOD</w:t>
            </w:r>
            <w:r>
              <w:rPr>
                <w:sz w:val="24"/>
                <w:szCs w:val="24"/>
                <w:vertAlign w:val="subscript"/>
              </w:rPr>
              <w:t>5</w:t>
            </w:r>
            <w:r>
              <w:rPr>
                <w:rFonts w:hint="eastAsia"/>
                <w:sz w:val="24"/>
                <w:szCs w:val="24"/>
              </w:rPr>
              <w:t>（</w:t>
            </w:r>
            <w:r>
              <w:rPr>
                <w:sz w:val="24"/>
                <w:szCs w:val="24"/>
              </w:rPr>
              <w:t>200</w:t>
            </w:r>
            <w:r>
              <w:rPr>
                <w:rFonts w:hint="eastAsia"/>
                <w:sz w:val="24"/>
                <w:szCs w:val="24"/>
              </w:rPr>
              <w:t>mg</w:t>
            </w:r>
            <w:r>
              <w:rPr>
                <w:sz w:val="24"/>
                <w:szCs w:val="24"/>
              </w:rPr>
              <w:t>/</w:t>
            </w:r>
            <w:r>
              <w:rPr>
                <w:rFonts w:hint="eastAsia"/>
                <w:sz w:val="24"/>
                <w:szCs w:val="24"/>
              </w:rPr>
              <w:t>L）、SS（</w:t>
            </w:r>
            <w:r>
              <w:rPr>
                <w:sz w:val="24"/>
                <w:szCs w:val="24"/>
              </w:rPr>
              <w:t>350</w:t>
            </w:r>
            <w:r>
              <w:rPr>
                <w:rFonts w:hint="eastAsia"/>
                <w:sz w:val="24"/>
                <w:szCs w:val="24"/>
              </w:rPr>
              <w:t>mg</w:t>
            </w:r>
            <w:r>
              <w:rPr>
                <w:sz w:val="24"/>
                <w:szCs w:val="24"/>
              </w:rPr>
              <w:t>/</w:t>
            </w:r>
            <w:r>
              <w:rPr>
                <w:rFonts w:hint="eastAsia"/>
                <w:sz w:val="24"/>
                <w:szCs w:val="24"/>
              </w:rPr>
              <w:t>L）、NH</w:t>
            </w:r>
            <w:r>
              <w:rPr>
                <w:rFonts w:hint="eastAsia"/>
                <w:sz w:val="24"/>
                <w:szCs w:val="24"/>
                <w:vertAlign w:val="subscript"/>
              </w:rPr>
              <w:t>3</w:t>
            </w:r>
            <w:r>
              <w:rPr>
                <w:sz w:val="24"/>
                <w:szCs w:val="24"/>
              </w:rPr>
              <w:t>-</w:t>
            </w:r>
            <w:r>
              <w:rPr>
                <w:rFonts w:hint="eastAsia"/>
                <w:sz w:val="24"/>
                <w:szCs w:val="24"/>
              </w:rPr>
              <w:t>N（</w:t>
            </w:r>
            <w:r>
              <w:rPr>
                <w:sz w:val="24"/>
                <w:szCs w:val="24"/>
              </w:rPr>
              <w:t>40</w:t>
            </w:r>
            <w:r>
              <w:rPr>
                <w:rFonts w:hint="eastAsia"/>
                <w:sz w:val="24"/>
                <w:szCs w:val="24"/>
              </w:rPr>
              <w:t>mg</w:t>
            </w:r>
            <w:r>
              <w:rPr>
                <w:sz w:val="24"/>
                <w:szCs w:val="24"/>
              </w:rPr>
              <w:t>/</w:t>
            </w:r>
            <w:r>
              <w:rPr>
                <w:rFonts w:hint="eastAsia"/>
                <w:sz w:val="24"/>
                <w:szCs w:val="24"/>
              </w:rPr>
              <w:t>L）。处理后的废水排入柳源污水处理厂进一步处理。</w:t>
            </w:r>
          </w:p>
        </w:tc>
      </w:tr>
    </w:tbl>
    <w:p>
      <w:pPr>
        <w:spacing w:line="360" w:lineRule="auto"/>
        <w:outlineLvl w:val="0"/>
        <w:rPr>
          <w:b/>
          <w:bCs/>
          <w:sz w:val="28"/>
          <w:szCs w:val="28"/>
        </w:rPr>
      </w:pPr>
      <w:r>
        <w:rPr>
          <w:bCs/>
          <w:sz w:val="24"/>
          <w:szCs w:val="24"/>
        </w:rPr>
        <w:br w:type="page"/>
      </w:r>
      <w:r>
        <w:rPr>
          <w:b/>
          <w:bCs/>
          <w:sz w:val="28"/>
          <w:szCs w:val="28"/>
        </w:rPr>
        <w:t>环境质量状况</w:t>
      </w:r>
    </w:p>
    <w:tbl>
      <w:tblPr>
        <w:tblStyle w:val="27"/>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5" w:hRule="atLeast"/>
          <w:jc w:val="center"/>
        </w:trPr>
        <w:tc>
          <w:tcPr>
            <w:tcW w:w="8789" w:type="dxa"/>
          </w:tcPr>
          <w:p>
            <w:pPr>
              <w:spacing w:line="360" w:lineRule="auto"/>
              <w:rPr>
                <w:sz w:val="24"/>
                <w:szCs w:val="24"/>
              </w:rPr>
            </w:pPr>
            <w:r>
              <w:rPr>
                <w:b/>
                <w:sz w:val="24"/>
                <w:szCs w:val="24"/>
              </w:rPr>
              <w:t>建设项目所在地区域环境质量现状及主要环境问题</w:t>
            </w:r>
          </w:p>
          <w:p>
            <w:pPr>
              <w:autoSpaceDE w:val="0"/>
              <w:autoSpaceDN w:val="0"/>
              <w:spacing w:line="360" w:lineRule="auto"/>
              <w:ind w:firstLine="480" w:firstLineChars="200"/>
              <w:jc w:val="left"/>
              <w:textAlignment w:val="auto"/>
              <w:rPr>
                <w:rFonts w:cs="宋体"/>
                <w:sz w:val="24"/>
                <w:szCs w:val="24"/>
              </w:rPr>
            </w:pPr>
            <w:r>
              <w:rPr>
                <w:rFonts w:hint="eastAsia" w:cs="宋体"/>
                <w:sz w:val="24"/>
                <w:szCs w:val="24"/>
              </w:rPr>
              <w:t>本项目评价引用承德市环境保护局发布的《</w:t>
            </w:r>
            <w:r>
              <w:rPr>
                <w:rFonts w:cs="TimesNewRomanPSMT"/>
                <w:sz w:val="24"/>
                <w:szCs w:val="24"/>
              </w:rPr>
              <w:t>2017</w:t>
            </w:r>
            <w:r>
              <w:rPr>
                <w:rFonts w:hint="eastAsia" w:cs="宋体"/>
                <w:sz w:val="24"/>
                <w:szCs w:val="24"/>
              </w:rPr>
              <w:t>年承德市环境状况公报》常规数据，其环境质量状况如下：</w:t>
            </w:r>
          </w:p>
          <w:p>
            <w:pPr>
              <w:autoSpaceDE w:val="0"/>
              <w:autoSpaceDN w:val="0"/>
              <w:spacing w:line="360" w:lineRule="auto"/>
              <w:ind w:firstLine="480" w:firstLineChars="200"/>
              <w:jc w:val="left"/>
              <w:textAlignment w:val="auto"/>
              <w:rPr>
                <w:rFonts w:cs="宋体"/>
                <w:sz w:val="24"/>
                <w:szCs w:val="24"/>
              </w:rPr>
            </w:pPr>
            <w:r>
              <w:rPr>
                <w:rFonts w:hint="eastAsia"/>
                <w:sz w:val="24"/>
                <w:szCs w:val="24"/>
              </w:rPr>
              <w:t>1、环境空气质量现状</w:t>
            </w:r>
          </w:p>
          <w:p>
            <w:pPr>
              <w:autoSpaceDE w:val="0"/>
              <w:autoSpaceDN w:val="0"/>
              <w:spacing w:line="360" w:lineRule="auto"/>
              <w:ind w:firstLine="480" w:firstLineChars="200"/>
              <w:jc w:val="left"/>
              <w:textAlignment w:val="auto"/>
              <w:rPr>
                <w:rFonts w:cs="宋体"/>
                <w:sz w:val="24"/>
                <w:szCs w:val="24"/>
              </w:rPr>
            </w:pPr>
            <w:r>
              <w:rPr>
                <w:rFonts w:hint="eastAsia"/>
                <w:sz w:val="24"/>
              </w:rPr>
              <w:t>根据环境空气质量功能区划分，项目所在地为二类功能区。环境空气质量执行《环境空气质量标准》（GB3095-2012）中规定的二级标准。</w:t>
            </w:r>
          </w:p>
          <w:p>
            <w:pPr>
              <w:autoSpaceDE w:val="0"/>
              <w:autoSpaceDN w:val="0"/>
              <w:spacing w:line="360" w:lineRule="auto"/>
              <w:ind w:firstLine="480" w:firstLineChars="200"/>
              <w:jc w:val="left"/>
              <w:textAlignment w:val="auto"/>
              <w:rPr>
                <w:rFonts w:cs="宋体"/>
                <w:sz w:val="24"/>
                <w:szCs w:val="24"/>
              </w:rPr>
            </w:pPr>
            <w:r>
              <w:rPr>
                <w:rFonts w:hint="eastAsia" w:cs="宋体"/>
                <w:sz w:val="24"/>
                <w:szCs w:val="24"/>
              </w:rPr>
              <w:t>由承德市环境保护局公布的《</w:t>
            </w:r>
            <w:r>
              <w:rPr>
                <w:rFonts w:cs="TimesNewRomanPSMT"/>
                <w:sz w:val="24"/>
                <w:szCs w:val="24"/>
              </w:rPr>
              <w:t>2017</w:t>
            </w:r>
            <w:r>
              <w:rPr>
                <w:rFonts w:hint="eastAsia" w:cs="宋体"/>
                <w:sz w:val="24"/>
                <w:szCs w:val="24"/>
              </w:rPr>
              <w:t>年承德市环境状况公报》中鹰手营子矿区环境空气质量监测结果可知：</w:t>
            </w:r>
            <w:r>
              <w:rPr>
                <w:rFonts w:cs="TimesNewRomanPSMT"/>
                <w:sz w:val="24"/>
                <w:szCs w:val="24"/>
              </w:rPr>
              <w:t>2017</w:t>
            </w:r>
            <w:r>
              <w:rPr>
                <w:rFonts w:hint="eastAsia" w:cs="宋体"/>
                <w:sz w:val="24"/>
                <w:szCs w:val="24"/>
              </w:rPr>
              <w:t>年鹰手营子矿区二氧化硫年均浓度为</w:t>
            </w:r>
            <w:r>
              <w:rPr>
                <w:rFonts w:cs="TimesNewRomanPSMT"/>
                <w:sz w:val="24"/>
                <w:szCs w:val="24"/>
              </w:rPr>
              <w:t>38</w:t>
            </w:r>
            <w:r>
              <w:rPr>
                <w:sz w:val="24"/>
                <w:szCs w:val="24"/>
              </w:rPr>
              <w:t>μ</w:t>
            </w:r>
            <w:r>
              <w:rPr>
                <w:rFonts w:cs="TimesNewRomanPSMT"/>
                <w:sz w:val="24"/>
                <w:szCs w:val="24"/>
              </w:rPr>
              <w:t>g/</w:t>
            </w:r>
            <w:r>
              <w:rPr>
                <w:rFonts w:hint="eastAsia" w:cs="TimesNewRomanPSMT"/>
                <w:sz w:val="24"/>
                <w:szCs w:val="24"/>
              </w:rPr>
              <w:t>m</w:t>
            </w:r>
            <w:r>
              <w:rPr>
                <w:rFonts w:cs="TimesNewRomanPSMT"/>
                <w:sz w:val="24"/>
                <w:szCs w:val="24"/>
                <w:vertAlign w:val="superscript"/>
              </w:rPr>
              <w:t>3</w:t>
            </w:r>
            <w:r>
              <w:rPr>
                <w:rFonts w:hint="eastAsia" w:cs="宋体"/>
                <w:sz w:val="24"/>
                <w:szCs w:val="24"/>
              </w:rPr>
              <w:t>，一氧化碳年均浓度（</w:t>
            </w:r>
            <w:r>
              <w:rPr>
                <w:rFonts w:cs="TimesNewRomanPSMT"/>
                <w:sz w:val="24"/>
                <w:szCs w:val="24"/>
              </w:rPr>
              <w:t>24</w:t>
            </w:r>
            <w:r>
              <w:rPr>
                <w:rFonts w:hint="eastAsia" w:cs="宋体"/>
                <w:sz w:val="24"/>
                <w:szCs w:val="24"/>
              </w:rPr>
              <w:t>小时平均第</w:t>
            </w:r>
            <w:r>
              <w:rPr>
                <w:rFonts w:cs="TimesNewRomanPSMT"/>
                <w:sz w:val="24"/>
                <w:szCs w:val="24"/>
              </w:rPr>
              <w:t>95</w:t>
            </w:r>
            <w:r>
              <w:rPr>
                <w:rFonts w:hint="eastAsia" w:cs="宋体"/>
                <w:sz w:val="24"/>
                <w:szCs w:val="24"/>
              </w:rPr>
              <w:t>百分位数）为</w:t>
            </w:r>
            <w:r>
              <w:rPr>
                <w:rFonts w:cs="TimesNewRomanPSMT"/>
                <w:sz w:val="24"/>
                <w:szCs w:val="24"/>
              </w:rPr>
              <w:t>2.3mg/</w:t>
            </w:r>
            <w:r>
              <w:rPr>
                <w:rFonts w:hint="eastAsia" w:cs="TimesNewRomanPSMT"/>
                <w:sz w:val="24"/>
                <w:szCs w:val="24"/>
              </w:rPr>
              <w:t>m</w:t>
            </w:r>
            <w:r>
              <w:rPr>
                <w:rFonts w:cs="TimesNewRomanPSMT"/>
                <w:sz w:val="24"/>
                <w:szCs w:val="24"/>
                <w:vertAlign w:val="superscript"/>
              </w:rPr>
              <w:t>3</w:t>
            </w:r>
            <w:r>
              <w:rPr>
                <w:rFonts w:hint="eastAsia" w:cs="宋体"/>
                <w:sz w:val="24"/>
                <w:szCs w:val="24"/>
              </w:rPr>
              <w:t>，二氧化氮年均浓度为</w:t>
            </w:r>
            <w:r>
              <w:rPr>
                <w:rFonts w:cs="TimesNewRomanPSMT"/>
                <w:sz w:val="24"/>
                <w:szCs w:val="24"/>
              </w:rPr>
              <w:t>34</w:t>
            </w:r>
            <w:r>
              <w:rPr>
                <w:sz w:val="24"/>
                <w:szCs w:val="24"/>
              </w:rPr>
              <w:t>μ</w:t>
            </w:r>
            <w:r>
              <w:rPr>
                <w:rFonts w:cs="TimesNewRomanPSMT"/>
                <w:sz w:val="24"/>
                <w:szCs w:val="24"/>
              </w:rPr>
              <w:t>g/</w:t>
            </w:r>
            <w:r>
              <w:rPr>
                <w:rFonts w:hint="eastAsia" w:cs="TimesNewRomanPSMT"/>
                <w:sz w:val="24"/>
                <w:szCs w:val="24"/>
              </w:rPr>
              <w:t>m</w:t>
            </w:r>
            <w:r>
              <w:rPr>
                <w:rFonts w:cs="TimesNewRomanPSMT"/>
                <w:sz w:val="24"/>
                <w:szCs w:val="24"/>
                <w:vertAlign w:val="superscript"/>
              </w:rPr>
              <w:t>3</w:t>
            </w:r>
            <w:r>
              <w:rPr>
                <w:rFonts w:hint="eastAsia" w:cs="宋体"/>
                <w:sz w:val="24"/>
                <w:szCs w:val="24"/>
              </w:rPr>
              <w:t>，臭氧年均浓度（日最大</w:t>
            </w:r>
            <w:r>
              <w:rPr>
                <w:rFonts w:cs="TimesNewRomanPSMT"/>
                <w:sz w:val="24"/>
                <w:szCs w:val="24"/>
              </w:rPr>
              <w:t>8</w:t>
            </w:r>
            <w:r>
              <w:rPr>
                <w:rFonts w:hint="eastAsia" w:cs="宋体"/>
                <w:sz w:val="24"/>
                <w:szCs w:val="24"/>
              </w:rPr>
              <w:t>小时平均第</w:t>
            </w:r>
            <w:r>
              <w:rPr>
                <w:rFonts w:cs="TimesNewRomanPSMT"/>
                <w:sz w:val="24"/>
                <w:szCs w:val="24"/>
              </w:rPr>
              <w:t>90</w:t>
            </w:r>
            <w:r>
              <w:rPr>
                <w:rFonts w:hint="eastAsia" w:cs="宋体"/>
                <w:sz w:val="24"/>
                <w:szCs w:val="24"/>
              </w:rPr>
              <w:t>百分位数）为</w:t>
            </w:r>
            <w:r>
              <w:rPr>
                <w:rFonts w:cs="TimesNewRomanPSMT"/>
                <w:sz w:val="24"/>
                <w:szCs w:val="24"/>
              </w:rPr>
              <w:t>196</w:t>
            </w:r>
            <w:r>
              <w:rPr>
                <w:sz w:val="24"/>
                <w:szCs w:val="24"/>
              </w:rPr>
              <w:t>μ</w:t>
            </w:r>
            <w:r>
              <w:rPr>
                <w:rFonts w:cs="TimesNewRomanPSMT"/>
                <w:sz w:val="24"/>
                <w:szCs w:val="24"/>
              </w:rPr>
              <w:t>g/</w:t>
            </w:r>
            <w:r>
              <w:rPr>
                <w:rFonts w:hint="eastAsia" w:cs="TimesNewRomanPSMT"/>
                <w:sz w:val="24"/>
                <w:szCs w:val="24"/>
              </w:rPr>
              <w:t>m</w:t>
            </w:r>
            <w:r>
              <w:rPr>
                <w:rFonts w:cs="TimesNewRomanPSMT"/>
                <w:sz w:val="24"/>
                <w:szCs w:val="24"/>
                <w:vertAlign w:val="superscript"/>
              </w:rPr>
              <w:t>3</w:t>
            </w:r>
            <w:r>
              <w:rPr>
                <w:rFonts w:hint="eastAsia" w:cs="宋体"/>
                <w:sz w:val="24"/>
                <w:szCs w:val="24"/>
              </w:rPr>
              <w:t>，</w:t>
            </w:r>
            <w:r>
              <w:rPr>
                <w:rFonts w:cs="TimesNewRomanPSMT"/>
                <w:sz w:val="24"/>
                <w:szCs w:val="24"/>
              </w:rPr>
              <w:t>PM</w:t>
            </w:r>
            <w:r>
              <w:rPr>
                <w:rFonts w:cs="TimesNewRomanPSMT"/>
                <w:sz w:val="24"/>
                <w:szCs w:val="24"/>
                <w:vertAlign w:val="subscript"/>
              </w:rPr>
              <w:t>10</w:t>
            </w:r>
            <w:r>
              <w:rPr>
                <w:rFonts w:hint="eastAsia" w:cs="宋体"/>
                <w:sz w:val="24"/>
                <w:szCs w:val="24"/>
              </w:rPr>
              <w:t>年均浓度为</w:t>
            </w:r>
            <w:r>
              <w:rPr>
                <w:rFonts w:cs="TimesNewRomanPSMT"/>
                <w:sz w:val="24"/>
                <w:szCs w:val="24"/>
              </w:rPr>
              <w:t>98</w:t>
            </w:r>
            <w:r>
              <w:rPr>
                <w:sz w:val="24"/>
                <w:szCs w:val="24"/>
              </w:rPr>
              <w:t>μ</w:t>
            </w:r>
            <w:r>
              <w:rPr>
                <w:rFonts w:cs="TimesNewRomanPSMT"/>
                <w:sz w:val="24"/>
                <w:szCs w:val="24"/>
              </w:rPr>
              <w:t>g/</w:t>
            </w:r>
            <w:r>
              <w:rPr>
                <w:rFonts w:hint="eastAsia" w:cs="TimesNewRomanPSMT"/>
                <w:sz w:val="24"/>
                <w:szCs w:val="24"/>
              </w:rPr>
              <w:t>m</w:t>
            </w:r>
            <w:r>
              <w:rPr>
                <w:rFonts w:cs="TimesNewRomanPSMT"/>
                <w:sz w:val="24"/>
                <w:szCs w:val="24"/>
                <w:vertAlign w:val="superscript"/>
              </w:rPr>
              <w:t>3</w:t>
            </w:r>
            <w:r>
              <w:rPr>
                <w:rFonts w:hint="eastAsia" w:cs="宋体"/>
                <w:sz w:val="24"/>
                <w:szCs w:val="24"/>
              </w:rPr>
              <w:t>，</w:t>
            </w:r>
            <w:r>
              <w:rPr>
                <w:rFonts w:cs="TimesNewRomanPSMT"/>
                <w:sz w:val="24"/>
                <w:szCs w:val="24"/>
              </w:rPr>
              <w:t>PM</w:t>
            </w:r>
            <w:r>
              <w:rPr>
                <w:rFonts w:cs="TimesNewRomanPSMT"/>
                <w:sz w:val="24"/>
                <w:szCs w:val="24"/>
                <w:vertAlign w:val="subscript"/>
              </w:rPr>
              <w:t>2.5</w:t>
            </w:r>
            <w:r>
              <w:rPr>
                <w:rFonts w:hint="eastAsia" w:cs="宋体"/>
                <w:sz w:val="24"/>
                <w:szCs w:val="24"/>
              </w:rPr>
              <w:t>年均浓度为</w:t>
            </w:r>
            <w:r>
              <w:rPr>
                <w:rFonts w:hint="eastAsia" w:cs="TimesNewRomanPSMT"/>
                <w:sz w:val="24"/>
                <w:szCs w:val="24"/>
              </w:rPr>
              <w:t>5</w:t>
            </w:r>
            <w:r>
              <w:rPr>
                <w:sz w:val="24"/>
                <w:szCs w:val="24"/>
              </w:rPr>
              <w:t>μ</w:t>
            </w:r>
            <w:r>
              <w:rPr>
                <w:rFonts w:cs="TimesNewRomanPSMT"/>
                <w:sz w:val="24"/>
                <w:szCs w:val="24"/>
              </w:rPr>
              <w:t>g/</w:t>
            </w:r>
            <w:r>
              <w:rPr>
                <w:rFonts w:hint="eastAsia" w:cs="TimesNewRomanPSMT"/>
                <w:sz w:val="24"/>
                <w:szCs w:val="24"/>
              </w:rPr>
              <w:t>m</w:t>
            </w:r>
            <w:r>
              <w:rPr>
                <w:rFonts w:cs="TimesNewRomanPSMT"/>
                <w:sz w:val="24"/>
                <w:szCs w:val="24"/>
                <w:vertAlign w:val="superscript"/>
              </w:rPr>
              <w:t>3</w:t>
            </w:r>
            <w:r>
              <w:rPr>
                <w:rFonts w:hint="eastAsia" w:cs="宋体"/>
                <w:sz w:val="24"/>
                <w:szCs w:val="24"/>
              </w:rPr>
              <w:t>。</w:t>
            </w:r>
            <w:r>
              <w:rPr>
                <w:rFonts w:cs="TimesNewRomanPSMT"/>
                <w:sz w:val="24"/>
                <w:szCs w:val="24"/>
              </w:rPr>
              <w:t>2017</w:t>
            </w:r>
            <w:r>
              <w:rPr>
                <w:rFonts w:hint="eastAsia" w:cs="宋体"/>
                <w:sz w:val="24"/>
                <w:szCs w:val="24"/>
              </w:rPr>
              <w:t>年鹰手营子矿区主要污染物为</w:t>
            </w:r>
            <w:r>
              <w:rPr>
                <w:rFonts w:cs="TimesNewRomanPSMT"/>
                <w:sz w:val="24"/>
                <w:szCs w:val="24"/>
              </w:rPr>
              <w:t>P</w:t>
            </w:r>
            <w:r>
              <w:rPr>
                <w:rFonts w:hint="eastAsia" w:cs="TimesNewRomanPSMT"/>
                <w:sz w:val="24"/>
                <w:szCs w:val="24"/>
              </w:rPr>
              <w:t>M</w:t>
            </w:r>
            <w:r>
              <w:rPr>
                <w:rFonts w:cs="TimesNewRomanPSMT"/>
                <w:sz w:val="24"/>
                <w:szCs w:val="24"/>
                <w:vertAlign w:val="subscript"/>
              </w:rPr>
              <w:t>2.5</w:t>
            </w:r>
            <w:r>
              <w:rPr>
                <w:rFonts w:hint="eastAsia" w:cs="宋体"/>
                <w:sz w:val="24"/>
                <w:szCs w:val="24"/>
              </w:rPr>
              <w:t>，可吸入颗粒物污染主要发生在</w:t>
            </w:r>
            <w:r>
              <w:rPr>
                <w:rFonts w:cs="TimesNewRomanPSMT"/>
                <w:sz w:val="24"/>
                <w:szCs w:val="24"/>
              </w:rPr>
              <w:t>1~6</w:t>
            </w:r>
            <w:r>
              <w:rPr>
                <w:rFonts w:hint="eastAsia" w:cs="宋体"/>
                <w:sz w:val="24"/>
                <w:szCs w:val="24"/>
              </w:rPr>
              <w:t>月和</w:t>
            </w:r>
            <w:r>
              <w:rPr>
                <w:rFonts w:cs="TimesNewRomanPSMT"/>
                <w:sz w:val="24"/>
                <w:szCs w:val="24"/>
              </w:rPr>
              <w:t>9~12</w:t>
            </w:r>
            <w:r>
              <w:rPr>
                <w:rFonts w:hint="eastAsia" w:cs="宋体"/>
                <w:sz w:val="24"/>
                <w:szCs w:val="24"/>
              </w:rPr>
              <w:t>月份，呈现出冬季取暖污染较重、非取暖期较轻的季节性特征。鹰手营子矿区环境空气质量达到和好于二级天数为</w:t>
            </w:r>
            <w:r>
              <w:rPr>
                <w:rFonts w:cs="TimesNewRomanPSMT"/>
                <w:sz w:val="24"/>
                <w:szCs w:val="24"/>
              </w:rPr>
              <w:t>229</w:t>
            </w:r>
            <w:r>
              <w:rPr>
                <w:rFonts w:hint="eastAsia" w:cs="宋体"/>
                <w:sz w:val="24"/>
                <w:szCs w:val="24"/>
              </w:rPr>
              <w:t>天，根据监测数据可知二氧化硫、二氧化氮和一氧化碳满足《环境空气质量标准》（</w:t>
            </w:r>
            <w:r>
              <w:rPr>
                <w:rFonts w:cs="TimesNewRomanPSMT"/>
                <w:sz w:val="24"/>
                <w:szCs w:val="24"/>
              </w:rPr>
              <w:t>GB3095-2012</w:t>
            </w:r>
            <w:r>
              <w:rPr>
                <w:rFonts w:hint="eastAsia" w:cs="宋体"/>
                <w:sz w:val="24"/>
                <w:szCs w:val="24"/>
              </w:rPr>
              <w:t>）及修改单中二级标准，臭氧、</w:t>
            </w:r>
            <w:r>
              <w:rPr>
                <w:rFonts w:cs="TimesNewRomanPSMT"/>
                <w:sz w:val="24"/>
                <w:szCs w:val="24"/>
              </w:rPr>
              <w:t>PM</w:t>
            </w:r>
            <w:r>
              <w:rPr>
                <w:rFonts w:cs="TimesNewRomanPSMT"/>
                <w:sz w:val="24"/>
                <w:szCs w:val="24"/>
                <w:vertAlign w:val="subscript"/>
              </w:rPr>
              <w:t>10</w:t>
            </w:r>
            <w:r>
              <w:rPr>
                <w:rFonts w:hint="eastAsia" w:cs="宋体"/>
                <w:sz w:val="24"/>
                <w:szCs w:val="24"/>
              </w:rPr>
              <w:t>和</w:t>
            </w:r>
            <w:r>
              <w:rPr>
                <w:rFonts w:cs="TimesNewRomanPSMT"/>
                <w:sz w:val="24"/>
                <w:szCs w:val="24"/>
              </w:rPr>
              <w:t>PM</w:t>
            </w:r>
            <w:r>
              <w:rPr>
                <w:rFonts w:cs="TimesNewRomanPSMT"/>
                <w:sz w:val="24"/>
                <w:szCs w:val="24"/>
                <w:vertAlign w:val="subscript"/>
              </w:rPr>
              <w:t>2.5</w:t>
            </w:r>
            <w:r>
              <w:rPr>
                <w:rFonts w:hint="eastAsia" w:cs="宋体"/>
                <w:sz w:val="24"/>
                <w:szCs w:val="24"/>
              </w:rPr>
              <w:t>不满足《环境空气质量标准》（</w:t>
            </w:r>
            <w:r>
              <w:rPr>
                <w:rFonts w:cs="TimesNewRomanPSMT"/>
                <w:sz w:val="24"/>
                <w:szCs w:val="24"/>
              </w:rPr>
              <w:t>GB3095-2012</w:t>
            </w:r>
            <w:r>
              <w:rPr>
                <w:rFonts w:hint="eastAsia" w:cs="宋体"/>
                <w:sz w:val="24"/>
                <w:szCs w:val="24"/>
              </w:rPr>
              <w:t>）及修改单中二级标准</w:t>
            </w:r>
            <w:r>
              <w:rPr>
                <w:rFonts w:hint="eastAsia"/>
                <w:sz w:val="24"/>
              </w:rPr>
              <w:t>，属于不达标区</w:t>
            </w:r>
            <w:r>
              <w:rPr>
                <w:rFonts w:hint="eastAsia" w:cs="宋体"/>
                <w:sz w:val="24"/>
                <w:szCs w:val="24"/>
              </w:rPr>
              <w:t>。</w:t>
            </w:r>
          </w:p>
          <w:p>
            <w:pPr>
              <w:spacing w:line="360" w:lineRule="auto"/>
              <w:ind w:firstLine="480" w:firstLineChars="200"/>
              <w:rPr>
                <w:sz w:val="24"/>
                <w:szCs w:val="24"/>
              </w:rPr>
            </w:pPr>
            <w:r>
              <w:rPr>
                <w:rFonts w:hint="eastAsia"/>
                <w:sz w:val="24"/>
                <w:szCs w:val="24"/>
              </w:rPr>
              <w:t>2、地表水环境质量现状</w:t>
            </w:r>
          </w:p>
          <w:p>
            <w:pPr>
              <w:autoSpaceDE w:val="0"/>
              <w:autoSpaceDN w:val="0"/>
              <w:spacing w:line="360" w:lineRule="auto"/>
              <w:ind w:firstLine="480" w:firstLineChars="200"/>
              <w:jc w:val="left"/>
              <w:textAlignment w:val="auto"/>
              <w:rPr>
                <w:rFonts w:cs="宋体"/>
                <w:sz w:val="24"/>
                <w:szCs w:val="24"/>
              </w:rPr>
            </w:pPr>
            <w:r>
              <w:rPr>
                <w:rFonts w:hint="eastAsia" w:cs="宋体"/>
                <w:sz w:val="24"/>
                <w:szCs w:val="24"/>
              </w:rPr>
              <w:t>本评价引用《</w:t>
            </w:r>
            <w:r>
              <w:rPr>
                <w:rFonts w:cs="宋体"/>
                <w:sz w:val="24"/>
                <w:szCs w:val="24"/>
              </w:rPr>
              <w:t>2017</w:t>
            </w:r>
            <w:r>
              <w:rPr>
                <w:rFonts w:hint="eastAsia" w:cs="宋体"/>
                <w:sz w:val="24"/>
                <w:szCs w:val="24"/>
              </w:rPr>
              <w:t>年承德市环境状况公报》中柳河的监测结果，柳河共布设地表水常规监测断面</w:t>
            </w:r>
            <w:r>
              <w:rPr>
                <w:rFonts w:cs="宋体"/>
                <w:sz w:val="24"/>
                <w:szCs w:val="24"/>
              </w:rPr>
              <w:t>3</w:t>
            </w:r>
            <w:r>
              <w:rPr>
                <w:rFonts w:hint="eastAsia" w:cs="宋体"/>
                <w:sz w:val="24"/>
                <w:szCs w:val="24"/>
              </w:rPr>
              <w:t>个，分别为兴隆上游断面、</w:t>
            </w:r>
            <w:r>
              <w:rPr>
                <w:rFonts w:cs="宋体"/>
                <w:sz w:val="24"/>
                <w:szCs w:val="24"/>
              </w:rPr>
              <w:t>26#</w:t>
            </w:r>
            <w:r>
              <w:rPr>
                <w:rFonts w:hint="eastAsia" w:cs="宋体"/>
                <w:sz w:val="24"/>
                <w:szCs w:val="24"/>
              </w:rPr>
              <w:t>大桥断面、大杖子（二）断面。鹰手营子矿区柳源污水处理厂排放口位于兴隆上游断面、</w:t>
            </w:r>
            <w:r>
              <w:rPr>
                <w:rFonts w:cs="宋体"/>
                <w:sz w:val="24"/>
                <w:szCs w:val="24"/>
              </w:rPr>
              <w:t>26#</w:t>
            </w:r>
            <w:r>
              <w:rPr>
                <w:rFonts w:hint="eastAsia" w:cs="宋体"/>
                <w:sz w:val="24"/>
                <w:szCs w:val="24"/>
              </w:rPr>
              <w:t>大桥断面之间，</w:t>
            </w:r>
            <w:r>
              <w:rPr>
                <w:rFonts w:cs="宋体"/>
                <w:sz w:val="24"/>
                <w:szCs w:val="24"/>
              </w:rPr>
              <w:t>2017</w:t>
            </w:r>
            <w:r>
              <w:rPr>
                <w:rFonts w:hint="eastAsia" w:cs="宋体"/>
                <w:sz w:val="24"/>
                <w:szCs w:val="24"/>
              </w:rPr>
              <w:t>年柳河流域水质状况为优，</w:t>
            </w:r>
            <w:r>
              <w:rPr>
                <w:sz w:val="24"/>
              </w:rPr>
              <w:t>符合国家地表水Ⅲ类水质标准</w:t>
            </w:r>
            <w:r>
              <w:rPr>
                <w:rFonts w:hint="eastAsia" w:cs="宋体"/>
                <w:sz w:val="24"/>
                <w:szCs w:val="24"/>
              </w:rPr>
              <w:t>。</w:t>
            </w:r>
          </w:p>
          <w:p>
            <w:pPr>
              <w:spacing w:line="360" w:lineRule="auto"/>
              <w:ind w:firstLine="480" w:firstLineChars="200"/>
              <w:rPr>
                <w:sz w:val="24"/>
                <w:szCs w:val="24"/>
              </w:rPr>
            </w:pPr>
            <w:r>
              <w:rPr>
                <w:sz w:val="24"/>
                <w:szCs w:val="24"/>
              </w:rPr>
              <w:t>3</w:t>
            </w:r>
            <w:r>
              <w:rPr>
                <w:rFonts w:hint="eastAsia"/>
                <w:sz w:val="24"/>
                <w:szCs w:val="24"/>
              </w:rPr>
              <w:t>、地下水环境质量现状</w:t>
            </w:r>
          </w:p>
          <w:p>
            <w:pPr>
              <w:autoSpaceDE w:val="0"/>
              <w:autoSpaceDN w:val="0"/>
              <w:spacing w:line="360" w:lineRule="auto"/>
              <w:ind w:firstLine="480" w:firstLineChars="200"/>
              <w:jc w:val="left"/>
              <w:textAlignment w:val="auto"/>
              <w:rPr>
                <w:rFonts w:cs="宋体"/>
                <w:sz w:val="24"/>
                <w:szCs w:val="24"/>
              </w:rPr>
            </w:pPr>
            <w:r>
              <w:rPr>
                <w:rFonts w:hint="eastAsia" w:cs="宋体"/>
                <w:sz w:val="24"/>
                <w:szCs w:val="24"/>
              </w:rPr>
              <w:t>项目所在区域地下水水质良好，地下水环境满足《地下水质量标准》（</w:t>
            </w:r>
            <w:r>
              <w:rPr>
                <w:rFonts w:cs="TimesNewRomanPSMT"/>
                <w:sz w:val="24"/>
                <w:szCs w:val="24"/>
              </w:rPr>
              <w:t>GB/T14848-2017</w:t>
            </w:r>
            <w:r>
              <w:rPr>
                <w:rFonts w:hint="eastAsia" w:cs="宋体"/>
                <w:sz w:val="24"/>
                <w:szCs w:val="24"/>
              </w:rPr>
              <w:t>）中</w:t>
            </w:r>
            <w:r>
              <w:rPr>
                <w:sz w:val="24"/>
                <w:szCs w:val="24"/>
              </w:rPr>
              <w:t>Ⅲ</w:t>
            </w:r>
            <w:r>
              <w:rPr>
                <w:rFonts w:hint="eastAsia" w:cs="宋体"/>
                <w:sz w:val="24"/>
                <w:szCs w:val="24"/>
              </w:rPr>
              <w:t>类标准要求。</w:t>
            </w:r>
          </w:p>
          <w:p>
            <w:pPr>
              <w:spacing w:line="360" w:lineRule="auto"/>
              <w:ind w:firstLine="480" w:firstLineChars="200"/>
              <w:rPr>
                <w:sz w:val="24"/>
                <w:szCs w:val="24"/>
              </w:rPr>
            </w:pPr>
            <w:r>
              <w:rPr>
                <w:sz w:val="24"/>
                <w:szCs w:val="24"/>
              </w:rPr>
              <w:t>4</w:t>
            </w:r>
            <w:r>
              <w:rPr>
                <w:rFonts w:hint="eastAsia"/>
                <w:sz w:val="24"/>
                <w:szCs w:val="24"/>
              </w:rPr>
              <w:t>、声环境质量现状</w:t>
            </w:r>
          </w:p>
          <w:p>
            <w:pPr>
              <w:autoSpaceDE w:val="0"/>
              <w:autoSpaceDN w:val="0"/>
              <w:spacing w:line="360" w:lineRule="auto"/>
              <w:ind w:firstLine="480" w:firstLineChars="200"/>
              <w:jc w:val="left"/>
              <w:textAlignment w:val="auto"/>
              <w:rPr>
                <w:rFonts w:cs="宋体"/>
                <w:sz w:val="24"/>
                <w:szCs w:val="24"/>
              </w:rPr>
            </w:pPr>
            <w:r>
              <w:rPr>
                <w:rFonts w:hint="eastAsia" w:cs="宋体"/>
                <w:sz w:val="24"/>
                <w:szCs w:val="24"/>
              </w:rPr>
              <w:t>项目所在区域内声环境质量良好，项目厂界噪声满足《声环境质量标准》（</w:t>
            </w:r>
            <w:r>
              <w:rPr>
                <w:rFonts w:cs="TimesNewRomanPSMT"/>
                <w:sz w:val="24"/>
                <w:szCs w:val="24"/>
              </w:rPr>
              <w:t>GB3096-2008</w:t>
            </w:r>
            <w:r>
              <w:rPr>
                <w:rFonts w:hint="eastAsia" w:cs="宋体"/>
                <w:sz w:val="24"/>
                <w:szCs w:val="24"/>
              </w:rPr>
              <w:t>）中</w:t>
            </w:r>
            <w:r>
              <w:rPr>
                <w:rFonts w:cs="TimesNewRomanPSMT"/>
                <w:sz w:val="24"/>
                <w:szCs w:val="24"/>
              </w:rPr>
              <w:t>2</w:t>
            </w:r>
            <w:r>
              <w:rPr>
                <w:rFonts w:hint="eastAsia" w:cs="宋体"/>
                <w:sz w:val="24"/>
                <w:szCs w:val="24"/>
              </w:rPr>
              <w:t>类区标准要求。</w:t>
            </w:r>
          </w:p>
          <w:p>
            <w:pPr>
              <w:autoSpaceDE w:val="0"/>
              <w:autoSpaceDN w:val="0"/>
              <w:spacing w:line="360" w:lineRule="auto"/>
              <w:ind w:firstLine="480" w:firstLineChars="200"/>
              <w:jc w:val="left"/>
              <w:textAlignment w:val="auto"/>
              <w:rPr>
                <w:rFonts w:cs="宋体"/>
                <w:sz w:val="24"/>
                <w:szCs w:val="24"/>
              </w:rPr>
            </w:pPr>
            <w:r>
              <w:rPr>
                <w:sz w:val="24"/>
                <w:szCs w:val="24"/>
              </w:rPr>
              <w:t>5</w:t>
            </w:r>
            <w:r>
              <w:rPr>
                <w:rFonts w:hint="eastAsia"/>
                <w:sz w:val="24"/>
                <w:szCs w:val="24"/>
              </w:rPr>
              <w:t>、生态环境质量现状</w:t>
            </w:r>
          </w:p>
          <w:p>
            <w:pPr>
              <w:autoSpaceDE w:val="0"/>
              <w:autoSpaceDN w:val="0"/>
              <w:spacing w:line="360" w:lineRule="auto"/>
              <w:ind w:firstLine="480" w:firstLineChars="200"/>
              <w:jc w:val="left"/>
              <w:textAlignment w:val="auto"/>
              <w:rPr>
                <w:rFonts w:cs="宋体"/>
                <w:sz w:val="24"/>
                <w:szCs w:val="24"/>
              </w:rPr>
            </w:pPr>
            <w:r>
              <w:rPr>
                <w:rFonts w:hint="eastAsia"/>
                <w:sz w:val="24"/>
                <w:szCs w:val="24"/>
              </w:rPr>
              <w:t>本项目周围为空地，</w:t>
            </w:r>
            <w:r>
              <w:rPr>
                <w:sz w:val="24"/>
                <w:szCs w:val="24"/>
              </w:rPr>
              <w:t>生态环境质量一般</w:t>
            </w:r>
            <w:r>
              <w:rPr>
                <w:rFonts w:hint="eastAsia"/>
                <w:sz w:val="24"/>
                <w:szCs w:val="24"/>
              </w:rPr>
              <w:t>，评价区域内没有重点文物、自然保护区、珍稀动植物等重点保护目标。</w:t>
            </w:r>
            <w:r>
              <w:rPr>
                <w:rFonts w:hint="eastAsia" w:cs="宋体"/>
                <w:sz w:val="24"/>
                <w:szCs w:val="24"/>
              </w:rPr>
              <w:t>根据承德市生态保护红线初步成果，本项目不在生态保护红线范围内。</w:t>
            </w:r>
          </w:p>
          <w:p>
            <w:pPr>
              <w:spacing w:line="360" w:lineRule="auto"/>
              <w:rPr>
                <w:b/>
                <w:sz w:val="24"/>
                <w:szCs w:val="24"/>
              </w:rPr>
            </w:pPr>
            <w:r>
              <w:rPr>
                <w:b/>
                <w:sz w:val="24"/>
                <w:szCs w:val="24"/>
              </w:rPr>
              <w:t>主要环境保护目标(列出名单及保护级别)</w:t>
            </w:r>
          </w:p>
          <w:p>
            <w:pPr>
              <w:snapToGrid w:val="0"/>
              <w:spacing w:line="360" w:lineRule="auto"/>
              <w:ind w:firstLine="491" w:firstLineChars="205"/>
              <w:rPr>
                <w:sz w:val="24"/>
                <w:szCs w:val="24"/>
              </w:rPr>
            </w:pPr>
            <w:r>
              <w:rPr>
                <w:sz w:val="24"/>
                <w:szCs w:val="24"/>
              </w:rPr>
              <w:t>本项目位于</w:t>
            </w:r>
            <w:r>
              <w:rPr>
                <w:rFonts w:hint="eastAsia"/>
                <w:sz w:val="24"/>
                <w:szCs w:val="24"/>
              </w:rPr>
              <w:t>鹰手营子矿区主城区东南部及寿王镇西北部</w:t>
            </w:r>
            <w:r>
              <w:rPr>
                <w:sz w:val="24"/>
                <w:szCs w:val="24"/>
              </w:rPr>
              <w:t>，厂区周围没有自然保护区、风景名胜区、文物保护单位、生活饮用水源地及其他需要特别保护的敏感目标。本项目主要</w:t>
            </w:r>
            <w:r>
              <w:rPr>
                <w:rFonts w:hint="eastAsia"/>
                <w:sz w:val="24"/>
                <w:szCs w:val="24"/>
              </w:rPr>
              <w:t>大气</w:t>
            </w:r>
            <w:r>
              <w:rPr>
                <w:sz w:val="24"/>
                <w:szCs w:val="24"/>
              </w:rPr>
              <w:t>环境保护目标及保护级别见表13</w:t>
            </w:r>
            <w:r>
              <w:rPr>
                <w:rFonts w:hint="eastAsia"/>
                <w:sz w:val="24"/>
                <w:szCs w:val="24"/>
              </w:rPr>
              <w:t>及表</w:t>
            </w:r>
            <w:r>
              <w:rPr>
                <w:sz w:val="24"/>
                <w:szCs w:val="24"/>
              </w:rPr>
              <w:t>14</w:t>
            </w:r>
            <w:r>
              <w:rPr>
                <w:rFonts w:hint="eastAsia"/>
                <w:sz w:val="24"/>
                <w:szCs w:val="24"/>
              </w:rPr>
              <w:t>，项目周边关系图见附图</w:t>
            </w:r>
            <w:r>
              <w:rPr>
                <w:sz w:val="24"/>
                <w:szCs w:val="24"/>
              </w:rPr>
              <w:t>3。</w:t>
            </w:r>
          </w:p>
          <w:p>
            <w:pPr>
              <w:spacing w:line="360" w:lineRule="auto"/>
              <w:jc w:val="center"/>
              <w:rPr>
                <w:sz w:val="24"/>
                <w:szCs w:val="24"/>
              </w:rPr>
            </w:pPr>
            <w:r>
              <w:rPr>
                <w:sz w:val="24"/>
                <w:szCs w:val="24"/>
              </w:rPr>
              <w:t>表13 主城区垃圾转运站大气环境保护目标一览表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1066"/>
              <w:gridCol w:w="1064"/>
              <w:gridCol w:w="1169"/>
              <w:gridCol w:w="709"/>
              <w:gridCol w:w="896"/>
              <w:gridCol w:w="896"/>
              <w:gridCol w:w="897"/>
              <w:gridCol w:w="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vMerge w:val="restart"/>
                  <w:vAlign w:val="center"/>
                </w:tcPr>
                <w:p>
                  <w:pPr>
                    <w:spacing w:line="360" w:lineRule="auto"/>
                    <w:jc w:val="center"/>
                    <w:rPr>
                      <w:szCs w:val="21"/>
                    </w:rPr>
                  </w:pPr>
                  <w:r>
                    <w:rPr>
                      <w:rFonts w:hint="eastAsia"/>
                      <w:szCs w:val="21"/>
                    </w:rPr>
                    <w:t>序号</w:t>
                  </w:r>
                </w:p>
              </w:tc>
              <w:tc>
                <w:tcPr>
                  <w:tcW w:w="1066" w:type="dxa"/>
                  <w:vMerge w:val="restart"/>
                  <w:vAlign w:val="center"/>
                </w:tcPr>
                <w:p>
                  <w:pPr>
                    <w:spacing w:line="360" w:lineRule="auto"/>
                    <w:jc w:val="center"/>
                    <w:rPr>
                      <w:szCs w:val="21"/>
                    </w:rPr>
                  </w:pPr>
                  <w:r>
                    <w:rPr>
                      <w:rFonts w:hint="eastAsia"/>
                      <w:szCs w:val="21"/>
                    </w:rPr>
                    <w:t>名称</w:t>
                  </w:r>
                </w:p>
              </w:tc>
              <w:tc>
                <w:tcPr>
                  <w:tcW w:w="2233" w:type="dxa"/>
                  <w:gridSpan w:val="2"/>
                  <w:vAlign w:val="center"/>
                </w:tcPr>
                <w:p>
                  <w:pPr>
                    <w:spacing w:line="360" w:lineRule="auto"/>
                    <w:jc w:val="center"/>
                    <w:rPr>
                      <w:szCs w:val="21"/>
                    </w:rPr>
                  </w:pPr>
                  <w:r>
                    <w:rPr>
                      <w:rFonts w:hint="eastAsia"/>
                      <w:szCs w:val="21"/>
                    </w:rPr>
                    <w:t>坐标</w:t>
                  </w:r>
                </w:p>
              </w:tc>
              <w:tc>
                <w:tcPr>
                  <w:tcW w:w="709" w:type="dxa"/>
                  <w:vMerge w:val="restart"/>
                  <w:vAlign w:val="center"/>
                </w:tcPr>
                <w:p>
                  <w:pPr>
                    <w:spacing w:line="360" w:lineRule="auto"/>
                    <w:jc w:val="center"/>
                    <w:rPr>
                      <w:szCs w:val="21"/>
                    </w:rPr>
                  </w:pPr>
                  <w:r>
                    <w:rPr>
                      <w:rFonts w:hint="eastAsia"/>
                      <w:szCs w:val="21"/>
                    </w:rPr>
                    <w:t>保护对象</w:t>
                  </w:r>
                </w:p>
              </w:tc>
              <w:tc>
                <w:tcPr>
                  <w:tcW w:w="896" w:type="dxa"/>
                  <w:vMerge w:val="restart"/>
                  <w:vAlign w:val="center"/>
                </w:tcPr>
                <w:p>
                  <w:pPr>
                    <w:spacing w:line="360" w:lineRule="auto"/>
                    <w:jc w:val="center"/>
                    <w:rPr>
                      <w:szCs w:val="21"/>
                    </w:rPr>
                  </w:pPr>
                  <w:r>
                    <w:rPr>
                      <w:rFonts w:hint="eastAsia"/>
                      <w:szCs w:val="21"/>
                    </w:rPr>
                    <w:t>保护内容</w:t>
                  </w:r>
                </w:p>
              </w:tc>
              <w:tc>
                <w:tcPr>
                  <w:tcW w:w="896" w:type="dxa"/>
                  <w:vMerge w:val="restart"/>
                  <w:vAlign w:val="center"/>
                </w:tcPr>
                <w:p>
                  <w:pPr>
                    <w:spacing w:line="360" w:lineRule="auto"/>
                    <w:jc w:val="center"/>
                    <w:rPr>
                      <w:szCs w:val="21"/>
                    </w:rPr>
                  </w:pPr>
                  <w:r>
                    <w:rPr>
                      <w:rFonts w:hint="eastAsia"/>
                      <w:szCs w:val="21"/>
                    </w:rPr>
                    <w:t>环境功能区</w:t>
                  </w:r>
                </w:p>
              </w:tc>
              <w:tc>
                <w:tcPr>
                  <w:tcW w:w="897" w:type="dxa"/>
                  <w:vMerge w:val="restart"/>
                  <w:vAlign w:val="center"/>
                </w:tcPr>
                <w:p>
                  <w:pPr>
                    <w:spacing w:line="360" w:lineRule="auto"/>
                    <w:jc w:val="center"/>
                    <w:rPr>
                      <w:szCs w:val="21"/>
                    </w:rPr>
                  </w:pPr>
                  <w:r>
                    <w:rPr>
                      <w:rFonts w:hint="eastAsia"/>
                      <w:szCs w:val="21"/>
                    </w:rPr>
                    <w:t>相对厂址方位</w:t>
                  </w:r>
                </w:p>
              </w:tc>
              <w:tc>
                <w:tcPr>
                  <w:tcW w:w="912" w:type="dxa"/>
                  <w:vMerge w:val="restart"/>
                  <w:vAlign w:val="center"/>
                </w:tcPr>
                <w:p>
                  <w:pPr>
                    <w:spacing w:line="360" w:lineRule="auto"/>
                    <w:jc w:val="center"/>
                    <w:rPr>
                      <w:szCs w:val="21"/>
                    </w:rPr>
                  </w:pPr>
                  <w:r>
                    <w:rPr>
                      <w:rFonts w:hint="eastAsia"/>
                      <w:szCs w:val="21"/>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vMerge w:val="continue"/>
                  <w:vAlign w:val="center"/>
                </w:tcPr>
                <w:p>
                  <w:pPr>
                    <w:spacing w:line="360" w:lineRule="auto"/>
                    <w:jc w:val="center"/>
                    <w:rPr>
                      <w:szCs w:val="21"/>
                    </w:rPr>
                  </w:pPr>
                </w:p>
              </w:tc>
              <w:tc>
                <w:tcPr>
                  <w:tcW w:w="1066" w:type="dxa"/>
                  <w:vMerge w:val="continue"/>
                  <w:vAlign w:val="center"/>
                </w:tcPr>
                <w:p>
                  <w:pPr>
                    <w:spacing w:line="360" w:lineRule="auto"/>
                    <w:jc w:val="center"/>
                    <w:rPr>
                      <w:szCs w:val="21"/>
                    </w:rPr>
                  </w:pPr>
                </w:p>
              </w:tc>
              <w:tc>
                <w:tcPr>
                  <w:tcW w:w="1064" w:type="dxa"/>
                  <w:vAlign w:val="center"/>
                </w:tcPr>
                <w:p>
                  <w:pPr>
                    <w:spacing w:line="360" w:lineRule="auto"/>
                    <w:jc w:val="center"/>
                    <w:rPr>
                      <w:szCs w:val="21"/>
                    </w:rPr>
                  </w:pPr>
                  <w:r>
                    <w:rPr>
                      <w:rFonts w:hint="eastAsia"/>
                      <w:szCs w:val="21"/>
                    </w:rPr>
                    <w:t>纬度</w:t>
                  </w:r>
                </w:p>
              </w:tc>
              <w:tc>
                <w:tcPr>
                  <w:tcW w:w="1169" w:type="dxa"/>
                  <w:vAlign w:val="center"/>
                </w:tcPr>
                <w:p>
                  <w:pPr>
                    <w:spacing w:line="360" w:lineRule="auto"/>
                    <w:jc w:val="center"/>
                    <w:rPr>
                      <w:szCs w:val="21"/>
                    </w:rPr>
                  </w:pPr>
                  <w:r>
                    <w:rPr>
                      <w:rFonts w:hint="eastAsia"/>
                      <w:szCs w:val="21"/>
                    </w:rPr>
                    <w:t>经度</w:t>
                  </w:r>
                </w:p>
              </w:tc>
              <w:tc>
                <w:tcPr>
                  <w:tcW w:w="709" w:type="dxa"/>
                  <w:vMerge w:val="continue"/>
                  <w:vAlign w:val="center"/>
                </w:tcPr>
                <w:p>
                  <w:pPr>
                    <w:spacing w:line="360" w:lineRule="auto"/>
                    <w:jc w:val="center"/>
                    <w:rPr>
                      <w:szCs w:val="21"/>
                    </w:rPr>
                  </w:pPr>
                </w:p>
              </w:tc>
              <w:tc>
                <w:tcPr>
                  <w:tcW w:w="896" w:type="dxa"/>
                  <w:vMerge w:val="continue"/>
                  <w:vAlign w:val="center"/>
                </w:tcPr>
                <w:p>
                  <w:pPr>
                    <w:spacing w:line="360" w:lineRule="auto"/>
                    <w:jc w:val="center"/>
                    <w:rPr>
                      <w:szCs w:val="21"/>
                    </w:rPr>
                  </w:pPr>
                </w:p>
              </w:tc>
              <w:tc>
                <w:tcPr>
                  <w:tcW w:w="896" w:type="dxa"/>
                  <w:vMerge w:val="continue"/>
                  <w:vAlign w:val="center"/>
                </w:tcPr>
                <w:p>
                  <w:pPr>
                    <w:spacing w:line="360" w:lineRule="auto"/>
                    <w:jc w:val="center"/>
                    <w:rPr>
                      <w:szCs w:val="21"/>
                    </w:rPr>
                  </w:pPr>
                </w:p>
              </w:tc>
              <w:tc>
                <w:tcPr>
                  <w:tcW w:w="897" w:type="dxa"/>
                  <w:vMerge w:val="continue"/>
                  <w:vAlign w:val="center"/>
                </w:tcPr>
                <w:p>
                  <w:pPr>
                    <w:spacing w:line="360" w:lineRule="auto"/>
                    <w:jc w:val="center"/>
                    <w:rPr>
                      <w:szCs w:val="21"/>
                    </w:rPr>
                  </w:pPr>
                </w:p>
              </w:tc>
              <w:tc>
                <w:tcPr>
                  <w:tcW w:w="912" w:type="dxa"/>
                  <w:vMerge w:val="continue"/>
                  <w:vAlign w:val="center"/>
                </w:tcPr>
                <w:p>
                  <w:pPr>
                    <w:spacing w:line="360" w:lineRule="auto"/>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vAlign w:val="center"/>
                </w:tcPr>
                <w:p>
                  <w:pPr>
                    <w:spacing w:line="360" w:lineRule="auto"/>
                    <w:jc w:val="center"/>
                    <w:rPr>
                      <w:szCs w:val="21"/>
                    </w:rPr>
                  </w:pPr>
                  <w:r>
                    <w:rPr>
                      <w:rFonts w:hint="eastAsia"/>
                      <w:szCs w:val="21"/>
                    </w:rPr>
                    <w:t>1</w:t>
                  </w:r>
                </w:p>
              </w:tc>
              <w:tc>
                <w:tcPr>
                  <w:tcW w:w="1066" w:type="dxa"/>
                  <w:vAlign w:val="center"/>
                </w:tcPr>
                <w:p>
                  <w:pPr>
                    <w:spacing w:line="360" w:lineRule="auto"/>
                    <w:jc w:val="center"/>
                    <w:rPr>
                      <w:szCs w:val="21"/>
                    </w:rPr>
                  </w:pPr>
                  <w:r>
                    <w:rPr>
                      <w:rFonts w:hint="eastAsia"/>
                      <w:bCs/>
                      <w:szCs w:val="21"/>
                    </w:rPr>
                    <w:t>老爷庙村</w:t>
                  </w:r>
                </w:p>
              </w:tc>
              <w:tc>
                <w:tcPr>
                  <w:tcW w:w="1064" w:type="dxa"/>
                  <w:vAlign w:val="center"/>
                </w:tcPr>
                <w:p>
                  <w:pPr>
                    <w:spacing w:line="360" w:lineRule="auto"/>
                    <w:jc w:val="center"/>
                    <w:rPr>
                      <w:szCs w:val="21"/>
                    </w:rPr>
                  </w:pPr>
                  <w:r>
                    <w:t>40°32′24″</w:t>
                  </w:r>
                </w:p>
              </w:tc>
              <w:tc>
                <w:tcPr>
                  <w:tcW w:w="1169" w:type="dxa"/>
                  <w:vAlign w:val="center"/>
                </w:tcPr>
                <w:p>
                  <w:pPr>
                    <w:spacing w:line="360" w:lineRule="auto"/>
                    <w:jc w:val="center"/>
                    <w:rPr>
                      <w:szCs w:val="21"/>
                    </w:rPr>
                  </w:pPr>
                  <w:r>
                    <w:t>117°41′24″</w:t>
                  </w:r>
                </w:p>
              </w:tc>
              <w:tc>
                <w:tcPr>
                  <w:tcW w:w="709" w:type="dxa"/>
                  <w:vMerge w:val="restart"/>
                  <w:vAlign w:val="center"/>
                </w:tcPr>
                <w:p>
                  <w:pPr>
                    <w:spacing w:line="360" w:lineRule="auto"/>
                    <w:jc w:val="center"/>
                    <w:rPr>
                      <w:szCs w:val="21"/>
                    </w:rPr>
                  </w:pPr>
                  <w:r>
                    <w:rPr>
                      <w:rFonts w:hint="eastAsia"/>
                      <w:szCs w:val="21"/>
                    </w:rPr>
                    <w:t>居民</w:t>
                  </w:r>
                </w:p>
              </w:tc>
              <w:tc>
                <w:tcPr>
                  <w:tcW w:w="896" w:type="dxa"/>
                  <w:vMerge w:val="restart"/>
                  <w:vAlign w:val="center"/>
                </w:tcPr>
                <w:p>
                  <w:pPr>
                    <w:spacing w:line="360" w:lineRule="auto"/>
                    <w:jc w:val="center"/>
                    <w:rPr>
                      <w:szCs w:val="21"/>
                    </w:rPr>
                  </w:pPr>
                  <w:r>
                    <w:rPr>
                      <w:rFonts w:hint="eastAsia"/>
                      <w:szCs w:val="21"/>
                    </w:rPr>
                    <w:t>环境空气质量</w:t>
                  </w:r>
                </w:p>
              </w:tc>
              <w:tc>
                <w:tcPr>
                  <w:tcW w:w="896" w:type="dxa"/>
                  <w:vMerge w:val="restart"/>
                  <w:vAlign w:val="center"/>
                </w:tcPr>
                <w:p>
                  <w:pPr>
                    <w:spacing w:line="360" w:lineRule="auto"/>
                    <w:jc w:val="center"/>
                    <w:rPr>
                      <w:szCs w:val="21"/>
                    </w:rPr>
                  </w:pPr>
                  <w:r>
                    <w:rPr>
                      <w:rFonts w:hint="eastAsia"/>
                      <w:szCs w:val="21"/>
                    </w:rPr>
                    <w:t>二类区</w:t>
                  </w:r>
                </w:p>
              </w:tc>
              <w:tc>
                <w:tcPr>
                  <w:tcW w:w="897" w:type="dxa"/>
                  <w:vAlign w:val="center"/>
                </w:tcPr>
                <w:p>
                  <w:pPr>
                    <w:spacing w:line="360" w:lineRule="auto"/>
                    <w:jc w:val="center"/>
                    <w:rPr>
                      <w:szCs w:val="21"/>
                    </w:rPr>
                  </w:pPr>
                  <w:r>
                    <w:rPr>
                      <w:rFonts w:hint="eastAsia"/>
                      <w:bCs/>
                      <w:szCs w:val="21"/>
                    </w:rPr>
                    <w:t>S</w:t>
                  </w:r>
                </w:p>
              </w:tc>
              <w:tc>
                <w:tcPr>
                  <w:tcW w:w="912" w:type="dxa"/>
                  <w:vAlign w:val="center"/>
                </w:tcPr>
                <w:p>
                  <w:pPr>
                    <w:spacing w:line="360" w:lineRule="auto"/>
                    <w:jc w:val="center"/>
                    <w:rPr>
                      <w:szCs w:val="21"/>
                    </w:rPr>
                  </w:pPr>
                  <w:r>
                    <w:rPr>
                      <w:bCs/>
                      <w:szCs w:val="21"/>
                    </w:rPr>
                    <w:t>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vAlign w:val="center"/>
                </w:tcPr>
                <w:p>
                  <w:pPr>
                    <w:spacing w:line="360" w:lineRule="auto"/>
                    <w:jc w:val="center"/>
                    <w:rPr>
                      <w:szCs w:val="21"/>
                    </w:rPr>
                  </w:pPr>
                  <w:r>
                    <w:rPr>
                      <w:rFonts w:hint="eastAsia"/>
                      <w:szCs w:val="21"/>
                    </w:rPr>
                    <w:t>2</w:t>
                  </w:r>
                </w:p>
              </w:tc>
              <w:tc>
                <w:tcPr>
                  <w:tcW w:w="1066" w:type="dxa"/>
                  <w:vAlign w:val="center"/>
                </w:tcPr>
                <w:p>
                  <w:pPr>
                    <w:spacing w:line="360" w:lineRule="auto"/>
                    <w:jc w:val="center"/>
                    <w:rPr>
                      <w:szCs w:val="21"/>
                    </w:rPr>
                  </w:pPr>
                  <w:r>
                    <w:rPr>
                      <w:rFonts w:hint="eastAsia"/>
                      <w:bCs/>
                      <w:szCs w:val="21"/>
                    </w:rPr>
                    <w:t>后沟</w:t>
                  </w:r>
                </w:p>
              </w:tc>
              <w:tc>
                <w:tcPr>
                  <w:tcW w:w="1064" w:type="dxa"/>
                  <w:vAlign w:val="center"/>
                </w:tcPr>
                <w:p>
                  <w:pPr>
                    <w:spacing w:line="360" w:lineRule="auto"/>
                    <w:jc w:val="center"/>
                    <w:rPr>
                      <w:szCs w:val="21"/>
                    </w:rPr>
                  </w:pPr>
                  <w:r>
                    <w:t>40°32′60″</w:t>
                  </w:r>
                </w:p>
              </w:tc>
              <w:tc>
                <w:tcPr>
                  <w:tcW w:w="1169" w:type="dxa"/>
                  <w:vAlign w:val="center"/>
                </w:tcPr>
                <w:p>
                  <w:pPr>
                    <w:spacing w:line="360" w:lineRule="auto"/>
                    <w:jc w:val="center"/>
                    <w:rPr>
                      <w:szCs w:val="21"/>
                    </w:rPr>
                  </w:pPr>
                  <w:r>
                    <w:t>117°41′24″</w:t>
                  </w:r>
                </w:p>
              </w:tc>
              <w:tc>
                <w:tcPr>
                  <w:tcW w:w="709" w:type="dxa"/>
                  <w:vMerge w:val="continue"/>
                  <w:vAlign w:val="center"/>
                </w:tcPr>
                <w:p>
                  <w:pPr>
                    <w:spacing w:line="360" w:lineRule="auto"/>
                    <w:jc w:val="center"/>
                    <w:rPr>
                      <w:szCs w:val="21"/>
                    </w:rPr>
                  </w:pPr>
                </w:p>
              </w:tc>
              <w:tc>
                <w:tcPr>
                  <w:tcW w:w="896" w:type="dxa"/>
                  <w:vMerge w:val="continue"/>
                  <w:vAlign w:val="center"/>
                </w:tcPr>
                <w:p>
                  <w:pPr>
                    <w:spacing w:line="360" w:lineRule="auto"/>
                    <w:jc w:val="center"/>
                    <w:rPr>
                      <w:szCs w:val="21"/>
                    </w:rPr>
                  </w:pPr>
                </w:p>
              </w:tc>
              <w:tc>
                <w:tcPr>
                  <w:tcW w:w="896" w:type="dxa"/>
                  <w:vMerge w:val="continue"/>
                  <w:vAlign w:val="center"/>
                </w:tcPr>
                <w:p>
                  <w:pPr>
                    <w:spacing w:line="360" w:lineRule="auto"/>
                    <w:jc w:val="center"/>
                    <w:rPr>
                      <w:szCs w:val="21"/>
                    </w:rPr>
                  </w:pPr>
                </w:p>
              </w:tc>
              <w:tc>
                <w:tcPr>
                  <w:tcW w:w="897" w:type="dxa"/>
                  <w:vAlign w:val="center"/>
                </w:tcPr>
                <w:p>
                  <w:pPr>
                    <w:spacing w:line="360" w:lineRule="auto"/>
                    <w:jc w:val="center"/>
                    <w:rPr>
                      <w:szCs w:val="21"/>
                    </w:rPr>
                  </w:pPr>
                  <w:r>
                    <w:rPr>
                      <w:rFonts w:hint="eastAsia"/>
                      <w:bCs/>
                      <w:szCs w:val="21"/>
                    </w:rPr>
                    <w:t>N</w:t>
                  </w:r>
                </w:p>
              </w:tc>
              <w:tc>
                <w:tcPr>
                  <w:tcW w:w="912" w:type="dxa"/>
                  <w:vAlign w:val="center"/>
                </w:tcPr>
                <w:p>
                  <w:pPr>
                    <w:spacing w:line="360" w:lineRule="auto"/>
                    <w:jc w:val="center"/>
                    <w:rPr>
                      <w:szCs w:val="21"/>
                    </w:rPr>
                  </w:pPr>
                  <w:r>
                    <w:rPr>
                      <w:bCs/>
                      <w:szCs w:val="21"/>
                    </w:rPr>
                    <w:t>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vAlign w:val="center"/>
                </w:tcPr>
                <w:p>
                  <w:pPr>
                    <w:spacing w:line="360" w:lineRule="auto"/>
                    <w:jc w:val="center"/>
                    <w:rPr>
                      <w:szCs w:val="21"/>
                    </w:rPr>
                  </w:pPr>
                  <w:r>
                    <w:rPr>
                      <w:rFonts w:hint="eastAsia"/>
                      <w:szCs w:val="21"/>
                    </w:rPr>
                    <w:t>3</w:t>
                  </w:r>
                </w:p>
              </w:tc>
              <w:tc>
                <w:tcPr>
                  <w:tcW w:w="1066" w:type="dxa"/>
                  <w:vAlign w:val="center"/>
                </w:tcPr>
                <w:p>
                  <w:pPr>
                    <w:spacing w:line="360" w:lineRule="auto"/>
                    <w:jc w:val="center"/>
                    <w:rPr>
                      <w:bCs/>
                      <w:szCs w:val="21"/>
                    </w:rPr>
                  </w:pPr>
                  <w:r>
                    <w:rPr>
                      <w:rFonts w:hint="eastAsia"/>
                      <w:bCs/>
                      <w:szCs w:val="21"/>
                    </w:rPr>
                    <w:t>梁西</w:t>
                  </w:r>
                </w:p>
              </w:tc>
              <w:tc>
                <w:tcPr>
                  <w:tcW w:w="1064" w:type="dxa"/>
                  <w:vAlign w:val="center"/>
                </w:tcPr>
                <w:p>
                  <w:pPr>
                    <w:spacing w:line="360" w:lineRule="auto"/>
                    <w:jc w:val="center"/>
                    <w:rPr>
                      <w:szCs w:val="21"/>
                    </w:rPr>
                  </w:pPr>
                  <w:r>
                    <w:t>40°32′52″</w:t>
                  </w:r>
                </w:p>
              </w:tc>
              <w:tc>
                <w:tcPr>
                  <w:tcW w:w="1169" w:type="dxa"/>
                  <w:vAlign w:val="center"/>
                </w:tcPr>
                <w:p>
                  <w:pPr>
                    <w:spacing w:line="360" w:lineRule="auto"/>
                    <w:jc w:val="center"/>
                    <w:rPr>
                      <w:szCs w:val="21"/>
                    </w:rPr>
                  </w:pPr>
                  <w:r>
                    <w:t>117°40′52″</w:t>
                  </w:r>
                </w:p>
              </w:tc>
              <w:tc>
                <w:tcPr>
                  <w:tcW w:w="709" w:type="dxa"/>
                  <w:vMerge w:val="continue"/>
                  <w:vAlign w:val="center"/>
                </w:tcPr>
                <w:p>
                  <w:pPr>
                    <w:spacing w:line="360" w:lineRule="auto"/>
                    <w:jc w:val="center"/>
                    <w:rPr>
                      <w:szCs w:val="21"/>
                    </w:rPr>
                  </w:pPr>
                </w:p>
              </w:tc>
              <w:tc>
                <w:tcPr>
                  <w:tcW w:w="896" w:type="dxa"/>
                  <w:vMerge w:val="continue"/>
                  <w:vAlign w:val="center"/>
                </w:tcPr>
                <w:p>
                  <w:pPr>
                    <w:spacing w:line="360" w:lineRule="auto"/>
                    <w:jc w:val="center"/>
                    <w:rPr>
                      <w:szCs w:val="21"/>
                    </w:rPr>
                  </w:pPr>
                </w:p>
              </w:tc>
              <w:tc>
                <w:tcPr>
                  <w:tcW w:w="896" w:type="dxa"/>
                  <w:vMerge w:val="continue"/>
                  <w:vAlign w:val="center"/>
                </w:tcPr>
                <w:p>
                  <w:pPr>
                    <w:spacing w:line="360" w:lineRule="auto"/>
                    <w:jc w:val="center"/>
                    <w:rPr>
                      <w:szCs w:val="21"/>
                    </w:rPr>
                  </w:pPr>
                </w:p>
              </w:tc>
              <w:tc>
                <w:tcPr>
                  <w:tcW w:w="897" w:type="dxa"/>
                  <w:vAlign w:val="center"/>
                </w:tcPr>
                <w:p>
                  <w:pPr>
                    <w:spacing w:line="360" w:lineRule="auto"/>
                    <w:jc w:val="center"/>
                    <w:rPr>
                      <w:bCs/>
                      <w:szCs w:val="21"/>
                    </w:rPr>
                  </w:pPr>
                  <w:r>
                    <w:rPr>
                      <w:rFonts w:hint="eastAsia"/>
                      <w:bCs/>
                      <w:szCs w:val="21"/>
                    </w:rPr>
                    <w:t>NW</w:t>
                  </w:r>
                </w:p>
              </w:tc>
              <w:tc>
                <w:tcPr>
                  <w:tcW w:w="912" w:type="dxa"/>
                  <w:vAlign w:val="center"/>
                </w:tcPr>
                <w:p>
                  <w:pPr>
                    <w:spacing w:line="360" w:lineRule="auto"/>
                    <w:jc w:val="center"/>
                    <w:rPr>
                      <w:bCs/>
                      <w:szCs w:val="21"/>
                    </w:rPr>
                  </w:pPr>
                  <w:r>
                    <w:rPr>
                      <w:bCs/>
                      <w:szCs w:val="21"/>
                    </w:rPr>
                    <w:t>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vAlign w:val="center"/>
                </w:tcPr>
                <w:p>
                  <w:pPr>
                    <w:spacing w:line="360" w:lineRule="auto"/>
                    <w:jc w:val="center"/>
                    <w:rPr>
                      <w:szCs w:val="21"/>
                    </w:rPr>
                  </w:pPr>
                  <w:r>
                    <w:rPr>
                      <w:rFonts w:hint="eastAsia"/>
                      <w:szCs w:val="21"/>
                    </w:rPr>
                    <w:t>4</w:t>
                  </w:r>
                </w:p>
              </w:tc>
              <w:tc>
                <w:tcPr>
                  <w:tcW w:w="1066" w:type="dxa"/>
                  <w:vAlign w:val="center"/>
                </w:tcPr>
                <w:p>
                  <w:pPr>
                    <w:spacing w:line="360" w:lineRule="auto"/>
                    <w:jc w:val="center"/>
                    <w:rPr>
                      <w:bCs/>
                      <w:szCs w:val="21"/>
                    </w:rPr>
                  </w:pPr>
                  <w:r>
                    <w:rPr>
                      <w:rFonts w:hint="eastAsia"/>
                      <w:szCs w:val="21"/>
                    </w:rPr>
                    <w:t>东张家庄</w:t>
                  </w:r>
                </w:p>
              </w:tc>
              <w:tc>
                <w:tcPr>
                  <w:tcW w:w="1064" w:type="dxa"/>
                  <w:vAlign w:val="center"/>
                </w:tcPr>
                <w:p>
                  <w:pPr>
                    <w:spacing w:line="360" w:lineRule="auto"/>
                    <w:jc w:val="center"/>
                    <w:rPr>
                      <w:szCs w:val="21"/>
                    </w:rPr>
                  </w:pPr>
                  <w:r>
                    <w:t>40°31′12″</w:t>
                  </w:r>
                </w:p>
              </w:tc>
              <w:tc>
                <w:tcPr>
                  <w:tcW w:w="1169" w:type="dxa"/>
                  <w:vAlign w:val="center"/>
                </w:tcPr>
                <w:p>
                  <w:pPr>
                    <w:spacing w:line="360" w:lineRule="auto"/>
                    <w:jc w:val="center"/>
                    <w:rPr>
                      <w:szCs w:val="21"/>
                    </w:rPr>
                  </w:pPr>
                  <w:r>
                    <w:t>117°41′24″</w:t>
                  </w:r>
                </w:p>
              </w:tc>
              <w:tc>
                <w:tcPr>
                  <w:tcW w:w="709" w:type="dxa"/>
                  <w:vMerge w:val="continue"/>
                  <w:vAlign w:val="center"/>
                </w:tcPr>
                <w:p>
                  <w:pPr>
                    <w:spacing w:line="360" w:lineRule="auto"/>
                    <w:jc w:val="center"/>
                    <w:rPr>
                      <w:szCs w:val="21"/>
                    </w:rPr>
                  </w:pPr>
                </w:p>
              </w:tc>
              <w:tc>
                <w:tcPr>
                  <w:tcW w:w="896" w:type="dxa"/>
                  <w:vMerge w:val="continue"/>
                  <w:vAlign w:val="center"/>
                </w:tcPr>
                <w:p>
                  <w:pPr>
                    <w:spacing w:line="360" w:lineRule="auto"/>
                    <w:jc w:val="center"/>
                    <w:rPr>
                      <w:szCs w:val="21"/>
                    </w:rPr>
                  </w:pPr>
                </w:p>
              </w:tc>
              <w:tc>
                <w:tcPr>
                  <w:tcW w:w="896" w:type="dxa"/>
                  <w:vMerge w:val="continue"/>
                  <w:vAlign w:val="center"/>
                </w:tcPr>
                <w:p>
                  <w:pPr>
                    <w:spacing w:line="360" w:lineRule="auto"/>
                    <w:jc w:val="center"/>
                    <w:rPr>
                      <w:szCs w:val="21"/>
                    </w:rPr>
                  </w:pPr>
                </w:p>
              </w:tc>
              <w:tc>
                <w:tcPr>
                  <w:tcW w:w="897" w:type="dxa"/>
                  <w:vAlign w:val="center"/>
                </w:tcPr>
                <w:p>
                  <w:pPr>
                    <w:spacing w:line="360" w:lineRule="auto"/>
                    <w:jc w:val="center"/>
                    <w:rPr>
                      <w:bCs/>
                      <w:szCs w:val="21"/>
                    </w:rPr>
                  </w:pPr>
                  <w:r>
                    <w:rPr>
                      <w:rFonts w:hint="eastAsia"/>
                      <w:szCs w:val="21"/>
                    </w:rPr>
                    <w:t>SW</w:t>
                  </w:r>
                </w:p>
              </w:tc>
              <w:tc>
                <w:tcPr>
                  <w:tcW w:w="912" w:type="dxa"/>
                  <w:vAlign w:val="center"/>
                </w:tcPr>
                <w:p>
                  <w:pPr>
                    <w:spacing w:line="360" w:lineRule="auto"/>
                    <w:jc w:val="center"/>
                    <w:rPr>
                      <w:bCs/>
                      <w:szCs w:val="21"/>
                    </w:rPr>
                  </w:pPr>
                  <w:r>
                    <w:rPr>
                      <w:szCs w:val="21"/>
                    </w:rPr>
                    <w:t>1532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vAlign w:val="center"/>
                </w:tcPr>
                <w:p>
                  <w:pPr>
                    <w:spacing w:line="360" w:lineRule="auto"/>
                    <w:jc w:val="center"/>
                    <w:rPr>
                      <w:szCs w:val="21"/>
                    </w:rPr>
                  </w:pPr>
                  <w:r>
                    <w:rPr>
                      <w:rFonts w:hint="eastAsia"/>
                      <w:szCs w:val="21"/>
                    </w:rPr>
                    <w:t>5</w:t>
                  </w:r>
                </w:p>
              </w:tc>
              <w:tc>
                <w:tcPr>
                  <w:tcW w:w="1066" w:type="dxa"/>
                  <w:vAlign w:val="center"/>
                </w:tcPr>
                <w:p>
                  <w:pPr>
                    <w:spacing w:line="360" w:lineRule="auto"/>
                    <w:jc w:val="center"/>
                    <w:rPr>
                      <w:bCs/>
                      <w:szCs w:val="21"/>
                    </w:rPr>
                  </w:pPr>
                  <w:r>
                    <w:rPr>
                      <w:rFonts w:hint="eastAsia"/>
                      <w:bCs/>
                      <w:szCs w:val="21"/>
                    </w:rPr>
                    <w:t>姚家庄村</w:t>
                  </w:r>
                </w:p>
              </w:tc>
              <w:tc>
                <w:tcPr>
                  <w:tcW w:w="1064" w:type="dxa"/>
                  <w:vAlign w:val="center"/>
                </w:tcPr>
                <w:p>
                  <w:pPr>
                    <w:spacing w:line="360" w:lineRule="auto"/>
                    <w:jc w:val="center"/>
                    <w:rPr>
                      <w:szCs w:val="21"/>
                    </w:rPr>
                  </w:pPr>
                  <w:r>
                    <w:t>40°32′24″</w:t>
                  </w:r>
                </w:p>
              </w:tc>
              <w:tc>
                <w:tcPr>
                  <w:tcW w:w="1169" w:type="dxa"/>
                  <w:vAlign w:val="center"/>
                </w:tcPr>
                <w:p>
                  <w:pPr>
                    <w:widowControl/>
                    <w:adjustRightInd/>
                    <w:spacing w:line="240" w:lineRule="auto"/>
                    <w:jc w:val="center"/>
                    <w:textAlignment w:val="auto"/>
                    <w:rPr>
                      <w:sz w:val="24"/>
                    </w:rPr>
                  </w:pPr>
                  <w:r>
                    <w:t>117°43′12″</w:t>
                  </w:r>
                </w:p>
              </w:tc>
              <w:tc>
                <w:tcPr>
                  <w:tcW w:w="709" w:type="dxa"/>
                  <w:vMerge w:val="continue"/>
                  <w:vAlign w:val="center"/>
                </w:tcPr>
                <w:p>
                  <w:pPr>
                    <w:spacing w:line="360" w:lineRule="auto"/>
                    <w:jc w:val="center"/>
                    <w:rPr>
                      <w:szCs w:val="21"/>
                    </w:rPr>
                  </w:pPr>
                </w:p>
              </w:tc>
              <w:tc>
                <w:tcPr>
                  <w:tcW w:w="896" w:type="dxa"/>
                  <w:vMerge w:val="continue"/>
                  <w:vAlign w:val="center"/>
                </w:tcPr>
                <w:p>
                  <w:pPr>
                    <w:spacing w:line="360" w:lineRule="auto"/>
                    <w:jc w:val="center"/>
                    <w:rPr>
                      <w:szCs w:val="21"/>
                    </w:rPr>
                  </w:pPr>
                </w:p>
              </w:tc>
              <w:tc>
                <w:tcPr>
                  <w:tcW w:w="896" w:type="dxa"/>
                  <w:vMerge w:val="continue"/>
                  <w:vAlign w:val="center"/>
                </w:tcPr>
                <w:p>
                  <w:pPr>
                    <w:spacing w:line="360" w:lineRule="auto"/>
                    <w:jc w:val="center"/>
                    <w:rPr>
                      <w:szCs w:val="21"/>
                    </w:rPr>
                  </w:pPr>
                </w:p>
              </w:tc>
              <w:tc>
                <w:tcPr>
                  <w:tcW w:w="897" w:type="dxa"/>
                  <w:vAlign w:val="center"/>
                </w:tcPr>
                <w:p>
                  <w:pPr>
                    <w:spacing w:line="360" w:lineRule="auto"/>
                    <w:jc w:val="center"/>
                    <w:rPr>
                      <w:bCs/>
                      <w:szCs w:val="21"/>
                    </w:rPr>
                  </w:pPr>
                  <w:r>
                    <w:rPr>
                      <w:rFonts w:hint="eastAsia"/>
                      <w:bCs/>
                      <w:szCs w:val="21"/>
                    </w:rPr>
                    <w:t>E</w:t>
                  </w:r>
                </w:p>
              </w:tc>
              <w:tc>
                <w:tcPr>
                  <w:tcW w:w="912" w:type="dxa"/>
                  <w:vAlign w:val="center"/>
                </w:tcPr>
                <w:p>
                  <w:pPr>
                    <w:spacing w:line="360" w:lineRule="auto"/>
                    <w:jc w:val="center"/>
                    <w:rPr>
                      <w:bCs/>
                      <w:szCs w:val="21"/>
                    </w:rPr>
                  </w:pPr>
                  <w:r>
                    <w:rPr>
                      <w:bCs/>
                      <w:szCs w:val="21"/>
                    </w:rPr>
                    <w:t>1560</w:t>
                  </w:r>
                </w:p>
              </w:tc>
            </w:tr>
          </w:tbl>
          <w:p>
            <w:pPr>
              <w:spacing w:line="360" w:lineRule="auto"/>
              <w:jc w:val="center"/>
              <w:rPr>
                <w:spacing w:val="9"/>
                <w:sz w:val="24"/>
                <w:szCs w:val="24"/>
              </w:rPr>
            </w:pPr>
            <w:r>
              <w:rPr>
                <w:spacing w:val="9"/>
                <w:sz w:val="24"/>
                <w:szCs w:val="24"/>
              </w:rPr>
              <w:t xml:space="preserve">表14 </w:t>
            </w:r>
            <w:r>
              <w:rPr>
                <w:rFonts w:hint="eastAsia"/>
                <w:spacing w:val="9"/>
                <w:sz w:val="24"/>
                <w:szCs w:val="24"/>
              </w:rPr>
              <w:t>寿王坟镇垃圾转运站大气</w:t>
            </w:r>
            <w:r>
              <w:rPr>
                <w:spacing w:val="9"/>
                <w:sz w:val="24"/>
                <w:szCs w:val="24"/>
              </w:rPr>
              <w:t>环境保护目标一览表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055"/>
              <w:gridCol w:w="1093"/>
              <w:gridCol w:w="1169"/>
              <w:gridCol w:w="756"/>
              <w:gridCol w:w="879"/>
              <w:gridCol w:w="879"/>
              <w:gridCol w:w="885"/>
              <w:gridCol w:w="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restart"/>
                  <w:vAlign w:val="center"/>
                </w:tcPr>
                <w:p>
                  <w:pPr>
                    <w:spacing w:line="360" w:lineRule="auto"/>
                    <w:jc w:val="center"/>
                    <w:rPr>
                      <w:szCs w:val="21"/>
                    </w:rPr>
                  </w:pPr>
                  <w:r>
                    <w:rPr>
                      <w:rFonts w:hint="eastAsia"/>
                      <w:szCs w:val="21"/>
                    </w:rPr>
                    <w:t>序号</w:t>
                  </w:r>
                </w:p>
              </w:tc>
              <w:tc>
                <w:tcPr>
                  <w:tcW w:w="1055" w:type="dxa"/>
                  <w:vMerge w:val="restart"/>
                  <w:vAlign w:val="center"/>
                </w:tcPr>
                <w:p>
                  <w:pPr>
                    <w:spacing w:line="360" w:lineRule="auto"/>
                    <w:jc w:val="center"/>
                    <w:rPr>
                      <w:szCs w:val="21"/>
                    </w:rPr>
                  </w:pPr>
                  <w:r>
                    <w:rPr>
                      <w:rFonts w:hint="eastAsia"/>
                      <w:szCs w:val="21"/>
                    </w:rPr>
                    <w:t>名称</w:t>
                  </w:r>
                </w:p>
              </w:tc>
              <w:tc>
                <w:tcPr>
                  <w:tcW w:w="2227" w:type="dxa"/>
                  <w:gridSpan w:val="2"/>
                  <w:vAlign w:val="center"/>
                </w:tcPr>
                <w:p>
                  <w:pPr>
                    <w:spacing w:line="360" w:lineRule="auto"/>
                    <w:jc w:val="center"/>
                    <w:rPr>
                      <w:szCs w:val="21"/>
                    </w:rPr>
                  </w:pPr>
                  <w:r>
                    <w:rPr>
                      <w:rFonts w:hint="eastAsia"/>
                      <w:szCs w:val="21"/>
                    </w:rPr>
                    <w:t>坐标</w:t>
                  </w:r>
                </w:p>
              </w:tc>
              <w:tc>
                <w:tcPr>
                  <w:tcW w:w="756" w:type="dxa"/>
                  <w:vMerge w:val="restart"/>
                  <w:vAlign w:val="center"/>
                </w:tcPr>
                <w:p>
                  <w:pPr>
                    <w:spacing w:line="360" w:lineRule="auto"/>
                    <w:jc w:val="center"/>
                    <w:rPr>
                      <w:szCs w:val="21"/>
                    </w:rPr>
                  </w:pPr>
                  <w:r>
                    <w:rPr>
                      <w:rFonts w:hint="eastAsia"/>
                      <w:szCs w:val="21"/>
                    </w:rPr>
                    <w:t>保护对象</w:t>
                  </w:r>
                </w:p>
              </w:tc>
              <w:tc>
                <w:tcPr>
                  <w:tcW w:w="879" w:type="dxa"/>
                  <w:vMerge w:val="restart"/>
                  <w:vAlign w:val="center"/>
                </w:tcPr>
                <w:p>
                  <w:pPr>
                    <w:spacing w:line="360" w:lineRule="auto"/>
                    <w:jc w:val="center"/>
                    <w:rPr>
                      <w:szCs w:val="21"/>
                    </w:rPr>
                  </w:pPr>
                  <w:r>
                    <w:rPr>
                      <w:rFonts w:hint="eastAsia"/>
                      <w:szCs w:val="21"/>
                    </w:rPr>
                    <w:t>保护内容</w:t>
                  </w:r>
                </w:p>
              </w:tc>
              <w:tc>
                <w:tcPr>
                  <w:tcW w:w="879" w:type="dxa"/>
                  <w:vMerge w:val="restart"/>
                  <w:vAlign w:val="center"/>
                </w:tcPr>
                <w:p>
                  <w:pPr>
                    <w:spacing w:line="360" w:lineRule="auto"/>
                    <w:jc w:val="center"/>
                    <w:rPr>
                      <w:szCs w:val="21"/>
                    </w:rPr>
                  </w:pPr>
                  <w:r>
                    <w:rPr>
                      <w:rFonts w:hint="eastAsia"/>
                      <w:szCs w:val="21"/>
                    </w:rPr>
                    <w:t>环境功能区</w:t>
                  </w:r>
                </w:p>
              </w:tc>
              <w:tc>
                <w:tcPr>
                  <w:tcW w:w="885" w:type="dxa"/>
                  <w:vMerge w:val="restart"/>
                  <w:vAlign w:val="center"/>
                </w:tcPr>
                <w:p>
                  <w:pPr>
                    <w:spacing w:line="360" w:lineRule="auto"/>
                    <w:jc w:val="center"/>
                    <w:rPr>
                      <w:szCs w:val="21"/>
                    </w:rPr>
                  </w:pPr>
                  <w:r>
                    <w:rPr>
                      <w:rFonts w:hint="eastAsia"/>
                      <w:szCs w:val="21"/>
                    </w:rPr>
                    <w:t>相对厂址方位</w:t>
                  </w:r>
                </w:p>
              </w:tc>
              <w:tc>
                <w:tcPr>
                  <w:tcW w:w="911" w:type="dxa"/>
                  <w:vMerge w:val="restart"/>
                  <w:vAlign w:val="center"/>
                </w:tcPr>
                <w:p>
                  <w:pPr>
                    <w:spacing w:line="360" w:lineRule="auto"/>
                    <w:jc w:val="center"/>
                    <w:rPr>
                      <w:szCs w:val="21"/>
                    </w:rPr>
                  </w:pPr>
                  <w:r>
                    <w:rPr>
                      <w:rFonts w:hint="eastAsia"/>
                      <w:szCs w:val="21"/>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spacing w:line="360" w:lineRule="auto"/>
                    <w:jc w:val="center"/>
                    <w:rPr>
                      <w:szCs w:val="21"/>
                    </w:rPr>
                  </w:pPr>
                </w:p>
              </w:tc>
              <w:tc>
                <w:tcPr>
                  <w:tcW w:w="1055" w:type="dxa"/>
                  <w:vMerge w:val="continue"/>
                  <w:vAlign w:val="center"/>
                </w:tcPr>
                <w:p>
                  <w:pPr>
                    <w:spacing w:line="360" w:lineRule="auto"/>
                    <w:jc w:val="center"/>
                    <w:rPr>
                      <w:szCs w:val="21"/>
                    </w:rPr>
                  </w:pPr>
                </w:p>
              </w:tc>
              <w:tc>
                <w:tcPr>
                  <w:tcW w:w="1093" w:type="dxa"/>
                  <w:vAlign w:val="center"/>
                </w:tcPr>
                <w:p>
                  <w:pPr>
                    <w:spacing w:line="360" w:lineRule="auto"/>
                    <w:jc w:val="center"/>
                    <w:rPr>
                      <w:szCs w:val="21"/>
                    </w:rPr>
                  </w:pPr>
                  <w:r>
                    <w:rPr>
                      <w:rFonts w:hint="eastAsia"/>
                      <w:szCs w:val="21"/>
                    </w:rPr>
                    <w:t>纬度</w:t>
                  </w:r>
                </w:p>
              </w:tc>
              <w:tc>
                <w:tcPr>
                  <w:tcW w:w="1134" w:type="dxa"/>
                  <w:vAlign w:val="center"/>
                </w:tcPr>
                <w:p>
                  <w:pPr>
                    <w:spacing w:line="360" w:lineRule="auto"/>
                    <w:jc w:val="center"/>
                    <w:rPr>
                      <w:szCs w:val="21"/>
                    </w:rPr>
                  </w:pPr>
                  <w:r>
                    <w:rPr>
                      <w:rFonts w:hint="eastAsia"/>
                      <w:szCs w:val="21"/>
                    </w:rPr>
                    <w:t>经度</w:t>
                  </w:r>
                </w:p>
              </w:tc>
              <w:tc>
                <w:tcPr>
                  <w:tcW w:w="756" w:type="dxa"/>
                  <w:vMerge w:val="continue"/>
                  <w:vAlign w:val="center"/>
                </w:tcPr>
                <w:p>
                  <w:pPr>
                    <w:spacing w:line="360" w:lineRule="auto"/>
                    <w:jc w:val="center"/>
                    <w:rPr>
                      <w:szCs w:val="21"/>
                    </w:rPr>
                  </w:pPr>
                </w:p>
              </w:tc>
              <w:tc>
                <w:tcPr>
                  <w:tcW w:w="879" w:type="dxa"/>
                  <w:vMerge w:val="continue"/>
                  <w:vAlign w:val="center"/>
                </w:tcPr>
                <w:p>
                  <w:pPr>
                    <w:spacing w:line="360" w:lineRule="auto"/>
                    <w:jc w:val="center"/>
                    <w:rPr>
                      <w:szCs w:val="21"/>
                    </w:rPr>
                  </w:pPr>
                </w:p>
              </w:tc>
              <w:tc>
                <w:tcPr>
                  <w:tcW w:w="879" w:type="dxa"/>
                  <w:vMerge w:val="continue"/>
                  <w:vAlign w:val="center"/>
                </w:tcPr>
                <w:p>
                  <w:pPr>
                    <w:spacing w:line="360" w:lineRule="auto"/>
                    <w:jc w:val="center"/>
                    <w:rPr>
                      <w:szCs w:val="21"/>
                    </w:rPr>
                  </w:pPr>
                </w:p>
              </w:tc>
              <w:tc>
                <w:tcPr>
                  <w:tcW w:w="885" w:type="dxa"/>
                  <w:vMerge w:val="continue"/>
                  <w:vAlign w:val="center"/>
                </w:tcPr>
                <w:p>
                  <w:pPr>
                    <w:spacing w:line="360" w:lineRule="auto"/>
                    <w:jc w:val="center"/>
                    <w:rPr>
                      <w:szCs w:val="21"/>
                    </w:rPr>
                  </w:pPr>
                </w:p>
              </w:tc>
              <w:tc>
                <w:tcPr>
                  <w:tcW w:w="911" w:type="dxa"/>
                  <w:vMerge w:val="continue"/>
                  <w:vAlign w:val="center"/>
                </w:tcPr>
                <w:p>
                  <w:pPr>
                    <w:spacing w:line="360" w:lineRule="auto"/>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spacing w:line="360" w:lineRule="auto"/>
                    <w:jc w:val="center"/>
                    <w:rPr>
                      <w:szCs w:val="21"/>
                    </w:rPr>
                  </w:pPr>
                  <w:r>
                    <w:rPr>
                      <w:rFonts w:hint="eastAsia"/>
                      <w:szCs w:val="21"/>
                    </w:rPr>
                    <w:t>1</w:t>
                  </w:r>
                </w:p>
              </w:tc>
              <w:tc>
                <w:tcPr>
                  <w:tcW w:w="1055" w:type="dxa"/>
                  <w:vAlign w:val="center"/>
                </w:tcPr>
                <w:p>
                  <w:pPr>
                    <w:spacing w:line="360" w:lineRule="auto"/>
                    <w:jc w:val="center"/>
                    <w:rPr>
                      <w:szCs w:val="21"/>
                    </w:rPr>
                  </w:pPr>
                  <w:r>
                    <w:rPr>
                      <w:rFonts w:hint="eastAsia"/>
                      <w:szCs w:val="21"/>
                    </w:rPr>
                    <w:t>朝梁子</w:t>
                  </w:r>
                </w:p>
              </w:tc>
              <w:tc>
                <w:tcPr>
                  <w:tcW w:w="1093" w:type="dxa"/>
                  <w:vAlign w:val="center"/>
                </w:tcPr>
                <w:p>
                  <w:pPr>
                    <w:spacing w:line="360" w:lineRule="auto"/>
                    <w:jc w:val="center"/>
                  </w:pPr>
                  <w:r>
                    <w:t>40°36′00″</w:t>
                  </w:r>
                </w:p>
              </w:tc>
              <w:tc>
                <w:tcPr>
                  <w:tcW w:w="1134" w:type="dxa"/>
                  <w:vAlign w:val="center"/>
                </w:tcPr>
                <w:p>
                  <w:pPr>
                    <w:spacing w:line="360" w:lineRule="auto"/>
                    <w:jc w:val="center"/>
                  </w:pPr>
                  <w:r>
                    <w:t>117°46′12″</w:t>
                  </w:r>
                </w:p>
              </w:tc>
              <w:tc>
                <w:tcPr>
                  <w:tcW w:w="756" w:type="dxa"/>
                  <w:vMerge w:val="restart"/>
                  <w:vAlign w:val="center"/>
                </w:tcPr>
                <w:p>
                  <w:pPr>
                    <w:spacing w:line="360" w:lineRule="auto"/>
                    <w:jc w:val="center"/>
                    <w:rPr>
                      <w:szCs w:val="21"/>
                    </w:rPr>
                  </w:pPr>
                  <w:r>
                    <w:rPr>
                      <w:rFonts w:hint="eastAsia"/>
                      <w:szCs w:val="21"/>
                    </w:rPr>
                    <w:t>居民</w:t>
                  </w:r>
                </w:p>
              </w:tc>
              <w:tc>
                <w:tcPr>
                  <w:tcW w:w="879" w:type="dxa"/>
                  <w:vMerge w:val="restart"/>
                  <w:vAlign w:val="center"/>
                </w:tcPr>
                <w:p>
                  <w:pPr>
                    <w:spacing w:line="360" w:lineRule="auto"/>
                    <w:jc w:val="center"/>
                    <w:rPr>
                      <w:szCs w:val="21"/>
                    </w:rPr>
                  </w:pPr>
                  <w:r>
                    <w:rPr>
                      <w:rFonts w:hint="eastAsia"/>
                      <w:szCs w:val="21"/>
                    </w:rPr>
                    <w:t>环境空气质量</w:t>
                  </w:r>
                </w:p>
              </w:tc>
              <w:tc>
                <w:tcPr>
                  <w:tcW w:w="879" w:type="dxa"/>
                  <w:vMerge w:val="restart"/>
                  <w:vAlign w:val="center"/>
                </w:tcPr>
                <w:p>
                  <w:pPr>
                    <w:spacing w:line="360" w:lineRule="auto"/>
                    <w:jc w:val="center"/>
                    <w:rPr>
                      <w:szCs w:val="21"/>
                    </w:rPr>
                  </w:pPr>
                  <w:r>
                    <w:rPr>
                      <w:rFonts w:hint="eastAsia"/>
                      <w:szCs w:val="21"/>
                    </w:rPr>
                    <w:t>二类区</w:t>
                  </w:r>
                </w:p>
              </w:tc>
              <w:tc>
                <w:tcPr>
                  <w:tcW w:w="885" w:type="dxa"/>
                  <w:vAlign w:val="center"/>
                </w:tcPr>
                <w:p>
                  <w:pPr>
                    <w:spacing w:line="360" w:lineRule="auto"/>
                    <w:jc w:val="center"/>
                    <w:rPr>
                      <w:szCs w:val="21"/>
                    </w:rPr>
                  </w:pPr>
                  <w:r>
                    <w:rPr>
                      <w:rFonts w:hint="eastAsia"/>
                      <w:szCs w:val="21"/>
                    </w:rPr>
                    <w:t>NE</w:t>
                  </w:r>
                </w:p>
              </w:tc>
              <w:tc>
                <w:tcPr>
                  <w:tcW w:w="911" w:type="dxa"/>
                  <w:vAlign w:val="center"/>
                </w:tcPr>
                <w:p>
                  <w:pPr>
                    <w:spacing w:line="360" w:lineRule="auto"/>
                    <w:jc w:val="center"/>
                    <w:rPr>
                      <w:szCs w:val="21"/>
                    </w:rPr>
                  </w:pPr>
                  <w:r>
                    <w:rPr>
                      <w:bCs/>
                      <w:szCs w:val="21"/>
                    </w:rPr>
                    <w:t>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spacing w:line="360" w:lineRule="auto"/>
                    <w:jc w:val="center"/>
                    <w:rPr>
                      <w:szCs w:val="21"/>
                    </w:rPr>
                  </w:pPr>
                  <w:r>
                    <w:rPr>
                      <w:rFonts w:hint="eastAsia"/>
                      <w:szCs w:val="21"/>
                    </w:rPr>
                    <w:t>2</w:t>
                  </w:r>
                </w:p>
              </w:tc>
              <w:tc>
                <w:tcPr>
                  <w:tcW w:w="1055" w:type="dxa"/>
                  <w:vAlign w:val="center"/>
                </w:tcPr>
                <w:p>
                  <w:pPr>
                    <w:spacing w:line="360" w:lineRule="auto"/>
                    <w:jc w:val="center"/>
                    <w:rPr>
                      <w:szCs w:val="21"/>
                    </w:rPr>
                  </w:pPr>
                  <w:r>
                    <w:rPr>
                      <w:rFonts w:hint="eastAsia"/>
                      <w:szCs w:val="21"/>
                    </w:rPr>
                    <w:t>高洼子</w:t>
                  </w:r>
                </w:p>
              </w:tc>
              <w:tc>
                <w:tcPr>
                  <w:tcW w:w="1093" w:type="dxa"/>
                  <w:vAlign w:val="center"/>
                </w:tcPr>
                <w:p>
                  <w:pPr>
                    <w:spacing w:line="360" w:lineRule="auto"/>
                    <w:jc w:val="center"/>
                  </w:pPr>
                  <w:r>
                    <w:t>40°36′36″</w:t>
                  </w:r>
                </w:p>
              </w:tc>
              <w:tc>
                <w:tcPr>
                  <w:tcW w:w="1134" w:type="dxa"/>
                  <w:vAlign w:val="center"/>
                </w:tcPr>
                <w:p>
                  <w:pPr>
                    <w:spacing w:line="360" w:lineRule="auto"/>
                    <w:jc w:val="center"/>
                  </w:pPr>
                  <w:r>
                    <w:t>117°46′12″</w:t>
                  </w:r>
                </w:p>
              </w:tc>
              <w:tc>
                <w:tcPr>
                  <w:tcW w:w="756" w:type="dxa"/>
                  <w:vMerge w:val="continue"/>
                  <w:vAlign w:val="center"/>
                </w:tcPr>
                <w:p>
                  <w:pPr>
                    <w:spacing w:line="360" w:lineRule="auto"/>
                    <w:jc w:val="center"/>
                    <w:rPr>
                      <w:szCs w:val="21"/>
                    </w:rPr>
                  </w:pPr>
                </w:p>
              </w:tc>
              <w:tc>
                <w:tcPr>
                  <w:tcW w:w="879" w:type="dxa"/>
                  <w:vMerge w:val="continue"/>
                  <w:vAlign w:val="center"/>
                </w:tcPr>
                <w:p>
                  <w:pPr>
                    <w:spacing w:line="360" w:lineRule="auto"/>
                    <w:jc w:val="center"/>
                    <w:rPr>
                      <w:szCs w:val="21"/>
                    </w:rPr>
                  </w:pPr>
                </w:p>
              </w:tc>
              <w:tc>
                <w:tcPr>
                  <w:tcW w:w="879" w:type="dxa"/>
                  <w:vMerge w:val="continue"/>
                  <w:vAlign w:val="center"/>
                </w:tcPr>
                <w:p>
                  <w:pPr>
                    <w:spacing w:line="360" w:lineRule="auto"/>
                    <w:jc w:val="center"/>
                    <w:rPr>
                      <w:szCs w:val="21"/>
                    </w:rPr>
                  </w:pPr>
                </w:p>
              </w:tc>
              <w:tc>
                <w:tcPr>
                  <w:tcW w:w="885" w:type="dxa"/>
                  <w:vAlign w:val="center"/>
                </w:tcPr>
                <w:p>
                  <w:pPr>
                    <w:spacing w:line="360" w:lineRule="auto"/>
                    <w:jc w:val="center"/>
                    <w:rPr>
                      <w:szCs w:val="21"/>
                    </w:rPr>
                  </w:pPr>
                  <w:r>
                    <w:rPr>
                      <w:rFonts w:hint="eastAsia"/>
                      <w:bCs/>
                      <w:szCs w:val="21"/>
                    </w:rPr>
                    <w:t>N</w:t>
                  </w:r>
                </w:p>
              </w:tc>
              <w:tc>
                <w:tcPr>
                  <w:tcW w:w="911" w:type="dxa"/>
                  <w:vAlign w:val="center"/>
                </w:tcPr>
                <w:p>
                  <w:pPr>
                    <w:spacing w:line="360" w:lineRule="auto"/>
                    <w:jc w:val="center"/>
                    <w:rPr>
                      <w:szCs w:val="21"/>
                    </w:rPr>
                  </w:pPr>
                  <w:r>
                    <w:rPr>
                      <w:bCs/>
                      <w:szCs w:val="21"/>
                    </w:rPr>
                    <w:t>843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spacing w:line="360" w:lineRule="auto"/>
                    <w:jc w:val="center"/>
                    <w:rPr>
                      <w:szCs w:val="21"/>
                    </w:rPr>
                  </w:pPr>
                  <w:r>
                    <w:rPr>
                      <w:rFonts w:hint="eastAsia"/>
                      <w:szCs w:val="21"/>
                    </w:rPr>
                    <w:t>3</w:t>
                  </w:r>
                </w:p>
              </w:tc>
              <w:tc>
                <w:tcPr>
                  <w:tcW w:w="1055" w:type="dxa"/>
                  <w:vAlign w:val="center"/>
                </w:tcPr>
                <w:p>
                  <w:pPr>
                    <w:spacing w:line="360" w:lineRule="auto"/>
                    <w:jc w:val="center"/>
                    <w:rPr>
                      <w:bCs/>
                      <w:szCs w:val="21"/>
                    </w:rPr>
                  </w:pPr>
                  <w:r>
                    <w:rPr>
                      <w:rFonts w:hint="eastAsia"/>
                      <w:bCs/>
                      <w:szCs w:val="21"/>
                    </w:rPr>
                    <w:t>下台子</w:t>
                  </w:r>
                </w:p>
              </w:tc>
              <w:tc>
                <w:tcPr>
                  <w:tcW w:w="1093" w:type="dxa"/>
                  <w:vAlign w:val="center"/>
                </w:tcPr>
                <w:p>
                  <w:pPr>
                    <w:spacing w:line="360" w:lineRule="auto"/>
                    <w:jc w:val="center"/>
                  </w:pPr>
                  <w:r>
                    <w:t>40°36′00″</w:t>
                  </w:r>
                </w:p>
              </w:tc>
              <w:tc>
                <w:tcPr>
                  <w:tcW w:w="1134" w:type="dxa"/>
                  <w:vAlign w:val="center"/>
                </w:tcPr>
                <w:p>
                  <w:pPr>
                    <w:spacing w:line="360" w:lineRule="auto"/>
                    <w:jc w:val="center"/>
                  </w:pPr>
                  <w:r>
                    <w:t>117°45′36″</w:t>
                  </w:r>
                </w:p>
              </w:tc>
              <w:tc>
                <w:tcPr>
                  <w:tcW w:w="756" w:type="dxa"/>
                  <w:vMerge w:val="continue"/>
                  <w:vAlign w:val="center"/>
                </w:tcPr>
                <w:p>
                  <w:pPr>
                    <w:spacing w:line="360" w:lineRule="auto"/>
                    <w:jc w:val="center"/>
                    <w:rPr>
                      <w:szCs w:val="21"/>
                    </w:rPr>
                  </w:pPr>
                </w:p>
              </w:tc>
              <w:tc>
                <w:tcPr>
                  <w:tcW w:w="879" w:type="dxa"/>
                  <w:vMerge w:val="continue"/>
                  <w:vAlign w:val="center"/>
                </w:tcPr>
                <w:p>
                  <w:pPr>
                    <w:spacing w:line="360" w:lineRule="auto"/>
                    <w:jc w:val="center"/>
                    <w:rPr>
                      <w:szCs w:val="21"/>
                    </w:rPr>
                  </w:pPr>
                </w:p>
              </w:tc>
              <w:tc>
                <w:tcPr>
                  <w:tcW w:w="879" w:type="dxa"/>
                  <w:vMerge w:val="continue"/>
                  <w:vAlign w:val="center"/>
                </w:tcPr>
                <w:p>
                  <w:pPr>
                    <w:spacing w:line="360" w:lineRule="auto"/>
                    <w:jc w:val="center"/>
                    <w:rPr>
                      <w:szCs w:val="21"/>
                    </w:rPr>
                  </w:pPr>
                </w:p>
              </w:tc>
              <w:tc>
                <w:tcPr>
                  <w:tcW w:w="885" w:type="dxa"/>
                  <w:vAlign w:val="center"/>
                </w:tcPr>
                <w:p>
                  <w:pPr>
                    <w:spacing w:line="360" w:lineRule="auto"/>
                    <w:jc w:val="center"/>
                    <w:rPr>
                      <w:bCs/>
                      <w:szCs w:val="21"/>
                    </w:rPr>
                  </w:pPr>
                  <w:r>
                    <w:rPr>
                      <w:rFonts w:hint="eastAsia"/>
                      <w:szCs w:val="21"/>
                    </w:rPr>
                    <w:t>N</w:t>
                  </w:r>
                  <w:r>
                    <w:rPr>
                      <w:szCs w:val="21"/>
                    </w:rPr>
                    <w:t>W</w:t>
                  </w:r>
                </w:p>
              </w:tc>
              <w:tc>
                <w:tcPr>
                  <w:tcW w:w="911" w:type="dxa"/>
                  <w:vAlign w:val="center"/>
                </w:tcPr>
                <w:p>
                  <w:pPr>
                    <w:spacing w:line="360" w:lineRule="auto"/>
                    <w:jc w:val="center"/>
                    <w:rPr>
                      <w:bCs/>
                      <w:szCs w:val="21"/>
                    </w:rPr>
                  </w:pPr>
                  <w:r>
                    <w:rPr>
                      <w:szCs w:val="21"/>
                    </w:rPr>
                    <w:t>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spacing w:line="360" w:lineRule="auto"/>
                    <w:jc w:val="center"/>
                    <w:rPr>
                      <w:szCs w:val="21"/>
                    </w:rPr>
                  </w:pPr>
                  <w:r>
                    <w:rPr>
                      <w:rFonts w:hint="eastAsia"/>
                      <w:szCs w:val="21"/>
                    </w:rPr>
                    <w:t>4</w:t>
                  </w:r>
                </w:p>
              </w:tc>
              <w:tc>
                <w:tcPr>
                  <w:tcW w:w="1055" w:type="dxa"/>
                  <w:vAlign w:val="center"/>
                </w:tcPr>
                <w:p>
                  <w:pPr>
                    <w:spacing w:line="360" w:lineRule="auto"/>
                    <w:jc w:val="center"/>
                    <w:rPr>
                      <w:bCs/>
                      <w:szCs w:val="21"/>
                    </w:rPr>
                  </w:pPr>
                  <w:r>
                    <w:rPr>
                      <w:rFonts w:hint="eastAsia"/>
                      <w:bCs/>
                      <w:szCs w:val="21"/>
                    </w:rPr>
                    <w:t>葫芦峪</w:t>
                  </w:r>
                </w:p>
              </w:tc>
              <w:tc>
                <w:tcPr>
                  <w:tcW w:w="1093" w:type="dxa"/>
                  <w:vAlign w:val="center"/>
                </w:tcPr>
                <w:p>
                  <w:pPr>
                    <w:spacing w:line="360" w:lineRule="auto"/>
                    <w:jc w:val="center"/>
                  </w:pPr>
                  <w:r>
                    <w:t>40°35′24″</w:t>
                  </w:r>
                </w:p>
              </w:tc>
              <w:tc>
                <w:tcPr>
                  <w:tcW w:w="1134" w:type="dxa"/>
                  <w:vAlign w:val="center"/>
                </w:tcPr>
                <w:p>
                  <w:pPr>
                    <w:spacing w:line="360" w:lineRule="auto"/>
                    <w:jc w:val="center"/>
                  </w:pPr>
                  <w:r>
                    <w:t>117°46′12″</w:t>
                  </w:r>
                </w:p>
              </w:tc>
              <w:tc>
                <w:tcPr>
                  <w:tcW w:w="756" w:type="dxa"/>
                  <w:vMerge w:val="continue"/>
                  <w:vAlign w:val="center"/>
                </w:tcPr>
                <w:p>
                  <w:pPr>
                    <w:spacing w:line="360" w:lineRule="auto"/>
                    <w:jc w:val="center"/>
                    <w:rPr>
                      <w:szCs w:val="21"/>
                    </w:rPr>
                  </w:pPr>
                </w:p>
              </w:tc>
              <w:tc>
                <w:tcPr>
                  <w:tcW w:w="879" w:type="dxa"/>
                  <w:vMerge w:val="continue"/>
                  <w:vAlign w:val="center"/>
                </w:tcPr>
                <w:p>
                  <w:pPr>
                    <w:spacing w:line="360" w:lineRule="auto"/>
                    <w:jc w:val="center"/>
                    <w:rPr>
                      <w:szCs w:val="21"/>
                    </w:rPr>
                  </w:pPr>
                </w:p>
              </w:tc>
              <w:tc>
                <w:tcPr>
                  <w:tcW w:w="879" w:type="dxa"/>
                  <w:vMerge w:val="continue"/>
                  <w:vAlign w:val="center"/>
                </w:tcPr>
                <w:p>
                  <w:pPr>
                    <w:spacing w:line="360" w:lineRule="auto"/>
                    <w:jc w:val="center"/>
                    <w:rPr>
                      <w:szCs w:val="21"/>
                    </w:rPr>
                  </w:pPr>
                </w:p>
              </w:tc>
              <w:tc>
                <w:tcPr>
                  <w:tcW w:w="885" w:type="dxa"/>
                  <w:vAlign w:val="center"/>
                </w:tcPr>
                <w:p>
                  <w:pPr>
                    <w:spacing w:line="360" w:lineRule="auto"/>
                    <w:jc w:val="center"/>
                    <w:rPr>
                      <w:bCs/>
                      <w:szCs w:val="21"/>
                    </w:rPr>
                  </w:pPr>
                  <w:r>
                    <w:rPr>
                      <w:rFonts w:hint="eastAsia"/>
                      <w:bCs/>
                      <w:szCs w:val="21"/>
                    </w:rPr>
                    <w:t>SW</w:t>
                  </w:r>
                </w:p>
              </w:tc>
              <w:tc>
                <w:tcPr>
                  <w:tcW w:w="911" w:type="dxa"/>
                  <w:vAlign w:val="center"/>
                </w:tcPr>
                <w:p>
                  <w:pPr>
                    <w:spacing w:line="360" w:lineRule="auto"/>
                    <w:jc w:val="center"/>
                    <w:rPr>
                      <w:bCs/>
                      <w:szCs w:val="21"/>
                    </w:rPr>
                  </w:pPr>
                  <w:r>
                    <w:rPr>
                      <w:bCs/>
                      <w:szCs w:val="21"/>
                    </w:rPr>
                    <w:t>1464</w:t>
                  </w:r>
                </w:p>
              </w:tc>
            </w:tr>
          </w:tbl>
          <w:p>
            <w:pPr>
              <w:spacing w:line="360" w:lineRule="auto"/>
              <w:ind w:firstLine="480" w:firstLineChars="200"/>
              <w:rPr>
                <w:sz w:val="24"/>
                <w:szCs w:val="24"/>
              </w:rPr>
            </w:pPr>
            <w:r>
              <w:rPr>
                <w:rFonts w:hint="eastAsia"/>
                <w:sz w:val="24"/>
                <w:szCs w:val="24"/>
              </w:rPr>
              <w:t>本项目水环境保护目标及级别见表1</w:t>
            </w:r>
            <w:r>
              <w:rPr>
                <w:sz w:val="24"/>
                <w:szCs w:val="24"/>
              </w:rPr>
              <w:t>5</w:t>
            </w:r>
            <w:r>
              <w:rPr>
                <w:rFonts w:hint="eastAsia"/>
                <w:sz w:val="24"/>
                <w:szCs w:val="24"/>
              </w:rPr>
              <w:t>。</w:t>
            </w:r>
          </w:p>
          <w:p>
            <w:pPr>
              <w:spacing w:line="360" w:lineRule="auto"/>
              <w:jc w:val="center"/>
              <w:rPr>
                <w:spacing w:val="9"/>
                <w:sz w:val="24"/>
                <w:szCs w:val="24"/>
              </w:rPr>
            </w:pPr>
            <w:r>
              <w:rPr>
                <w:spacing w:val="9"/>
                <w:sz w:val="24"/>
                <w:szCs w:val="24"/>
              </w:rPr>
              <w:t>表15 水环境保护目标及级别一览表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1"/>
              <w:gridCol w:w="1276"/>
              <w:gridCol w:w="1276"/>
              <w:gridCol w:w="1559"/>
              <w:gridCol w:w="3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center"/>
                </w:tcPr>
                <w:p>
                  <w:pPr>
                    <w:widowControl/>
                    <w:snapToGrid w:val="0"/>
                    <w:spacing w:line="360" w:lineRule="auto"/>
                    <w:jc w:val="center"/>
                    <w:rPr>
                      <w:szCs w:val="21"/>
                    </w:rPr>
                  </w:pPr>
                  <w:r>
                    <w:rPr>
                      <w:rFonts w:hint="eastAsia"/>
                      <w:szCs w:val="21"/>
                    </w:rPr>
                    <w:t>环境要素</w:t>
                  </w:r>
                </w:p>
              </w:tc>
              <w:tc>
                <w:tcPr>
                  <w:tcW w:w="1276" w:type="dxa"/>
                  <w:vAlign w:val="center"/>
                </w:tcPr>
                <w:p>
                  <w:pPr>
                    <w:widowControl/>
                    <w:snapToGrid w:val="0"/>
                    <w:spacing w:line="360" w:lineRule="auto"/>
                    <w:jc w:val="center"/>
                    <w:rPr>
                      <w:szCs w:val="21"/>
                    </w:rPr>
                  </w:pPr>
                  <w:r>
                    <w:rPr>
                      <w:rFonts w:hint="eastAsia"/>
                      <w:szCs w:val="21"/>
                    </w:rPr>
                    <w:t>保护目标</w:t>
                  </w:r>
                </w:p>
              </w:tc>
              <w:tc>
                <w:tcPr>
                  <w:tcW w:w="1276" w:type="dxa"/>
                  <w:vAlign w:val="center"/>
                </w:tcPr>
                <w:p>
                  <w:pPr>
                    <w:widowControl/>
                    <w:snapToGrid w:val="0"/>
                    <w:spacing w:line="360" w:lineRule="auto"/>
                    <w:jc w:val="center"/>
                    <w:rPr>
                      <w:szCs w:val="21"/>
                    </w:rPr>
                  </w:pPr>
                  <w:r>
                    <w:rPr>
                      <w:rFonts w:hint="eastAsia"/>
                      <w:szCs w:val="21"/>
                    </w:rPr>
                    <w:t>影响时段</w:t>
                  </w:r>
                </w:p>
              </w:tc>
              <w:tc>
                <w:tcPr>
                  <w:tcW w:w="1559" w:type="dxa"/>
                  <w:vAlign w:val="center"/>
                </w:tcPr>
                <w:p>
                  <w:pPr>
                    <w:widowControl/>
                    <w:snapToGrid w:val="0"/>
                    <w:spacing w:line="360" w:lineRule="auto"/>
                    <w:jc w:val="center"/>
                    <w:rPr>
                      <w:szCs w:val="21"/>
                    </w:rPr>
                  </w:pPr>
                  <w:r>
                    <w:rPr>
                      <w:rFonts w:hint="eastAsia"/>
                      <w:szCs w:val="21"/>
                    </w:rPr>
                    <w:t>影响因素</w:t>
                  </w:r>
                </w:p>
              </w:tc>
              <w:tc>
                <w:tcPr>
                  <w:tcW w:w="3301" w:type="dxa"/>
                  <w:vAlign w:val="center"/>
                </w:tcPr>
                <w:p>
                  <w:pPr>
                    <w:widowControl/>
                    <w:snapToGrid w:val="0"/>
                    <w:spacing w:line="360" w:lineRule="auto"/>
                    <w:jc w:val="center"/>
                    <w:rPr>
                      <w:szCs w:val="21"/>
                    </w:rPr>
                  </w:pPr>
                  <w:r>
                    <w:rPr>
                      <w:rFonts w:hint="eastAsia"/>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center"/>
                </w:tcPr>
                <w:p>
                  <w:pPr>
                    <w:spacing w:line="360" w:lineRule="auto"/>
                    <w:jc w:val="center"/>
                    <w:rPr>
                      <w:szCs w:val="21"/>
                    </w:rPr>
                  </w:pPr>
                  <w:r>
                    <w:rPr>
                      <w:rFonts w:hint="eastAsia"/>
                      <w:szCs w:val="21"/>
                    </w:rPr>
                    <w:t>地表水</w:t>
                  </w:r>
                </w:p>
              </w:tc>
              <w:tc>
                <w:tcPr>
                  <w:tcW w:w="1276" w:type="dxa"/>
                  <w:vAlign w:val="center"/>
                </w:tcPr>
                <w:p>
                  <w:pPr>
                    <w:spacing w:line="360" w:lineRule="auto"/>
                    <w:jc w:val="center"/>
                    <w:rPr>
                      <w:szCs w:val="21"/>
                    </w:rPr>
                  </w:pPr>
                  <w:r>
                    <w:rPr>
                      <w:rFonts w:hint="eastAsia"/>
                      <w:szCs w:val="21"/>
                    </w:rPr>
                    <w:t>柳河</w:t>
                  </w:r>
                </w:p>
              </w:tc>
              <w:tc>
                <w:tcPr>
                  <w:tcW w:w="1276" w:type="dxa"/>
                  <w:vAlign w:val="center"/>
                </w:tcPr>
                <w:p>
                  <w:pPr>
                    <w:spacing w:line="360" w:lineRule="auto"/>
                    <w:jc w:val="center"/>
                    <w:rPr>
                      <w:szCs w:val="21"/>
                    </w:rPr>
                  </w:pPr>
                  <w:r>
                    <w:rPr>
                      <w:rFonts w:hint="eastAsia"/>
                      <w:szCs w:val="21"/>
                    </w:rPr>
                    <w:t>运营期</w:t>
                  </w:r>
                </w:p>
              </w:tc>
              <w:tc>
                <w:tcPr>
                  <w:tcW w:w="1559" w:type="dxa"/>
                  <w:vAlign w:val="center"/>
                </w:tcPr>
                <w:p>
                  <w:pPr>
                    <w:spacing w:line="360" w:lineRule="auto"/>
                    <w:jc w:val="center"/>
                    <w:rPr>
                      <w:szCs w:val="21"/>
                    </w:rPr>
                  </w:pPr>
                  <w:r>
                    <w:rPr>
                      <w:rFonts w:hint="eastAsia"/>
                      <w:szCs w:val="21"/>
                    </w:rPr>
                    <w:t>水质、水量</w:t>
                  </w:r>
                </w:p>
              </w:tc>
              <w:tc>
                <w:tcPr>
                  <w:tcW w:w="3301" w:type="dxa"/>
                  <w:vAlign w:val="center"/>
                </w:tcPr>
                <w:p>
                  <w:pPr>
                    <w:spacing w:line="360" w:lineRule="auto"/>
                    <w:jc w:val="center"/>
                    <w:rPr>
                      <w:spacing w:val="-10"/>
                      <w:szCs w:val="21"/>
                    </w:rPr>
                  </w:pPr>
                  <w:r>
                    <w:rPr>
                      <w:spacing w:val="-10"/>
                      <w:szCs w:val="21"/>
                    </w:rPr>
                    <w:t>《地表水环境质量标准》(GB3838-2002)中</w:t>
                  </w:r>
                  <w:r>
                    <w:rPr>
                      <w:rFonts w:hint="eastAsia"/>
                      <w:spacing w:val="-10"/>
                      <w:szCs w:val="21"/>
                    </w:rPr>
                    <w:t>III</w:t>
                  </w:r>
                  <w:r>
                    <w:rPr>
                      <w:spacing w:val="-10"/>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center"/>
                </w:tcPr>
                <w:p>
                  <w:pPr>
                    <w:spacing w:line="360" w:lineRule="auto"/>
                    <w:jc w:val="center"/>
                    <w:rPr>
                      <w:szCs w:val="21"/>
                    </w:rPr>
                  </w:pPr>
                  <w:r>
                    <w:rPr>
                      <w:rFonts w:hint="eastAsia"/>
                      <w:szCs w:val="21"/>
                    </w:rPr>
                    <w:t>地下水</w:t>
                  </w:r>
                </w:p>
              </w:tc>
              <w:tc>
                <w:tcPr>
                  <w:tcW w:w="1276" w:type="dxa"/>
                  <w:vAlign w:val="center"/>
                </w:tcPr>
                <w:p>
                  <w:pPr>
                    <w:spacing w:line="360" w:lineRule="auto"/>
                    <w:jc w:val="center"/>
                    <w:rPr>
                      <w:szCs w:val="21"/>
                    </w:rPr>
                  </w:pPr>
                  <w:r>
                    <w:rPr>
                      <w:rFonts w:hint="eastAsia"/>
                      <w:szCs w:val="21"/>
                    </w:rPr>
                    <w:t>区域地下水</w:t>
                  </w:r>
                </w:p>
              </w:tc>
              <w:tc>
                <w:tcPr>
                  <w:tcW w:w="1276" w:type="dxa"/>
                  <w:vAlign w:val="center"/>
                </w:tcPr>
                <w:p>
                  <w:pPr>
                    <w:spacing w:line="360" w:lineRule="auto"/>
                    <w:jc w:val="center"/>
                    <w:rPr>
                      <w:szCs w:val="21"/>
                    </w:rPr>
                  </w:pPr>
                  <w:r>
                    <w:rPr>
                      <w:rFonts w:hint="eastAsia"/>
                      <w:szCs w:val="21"/>
                    </w:rPr>
                    <w:t>运营期</w:t>
                  </w:r>
                </w:p>
              </w:tc>
              <w:tc>
                <w:tcPr>
                  <w:tcW w:w="1559" w:type="dxa"/>
                  <w:vAlign w:val="center"/>
                </w:tcPr>
                <w:p>
                  <w:pPr>
                    <w:spacing w:line="360" w:lineRule="auto"/>
                    <w:jc w:val="center"/>
                    <w:rPr>
                      <w:szCs w:val="21"/>
                    </w:rPr>
                  </w:pPr>
                  <w:r>
                    <w:rPr>
                      <w:rFonts w:hint="eastAsia"/>
                      <w:szCs w:val="21"/>
                    </w:rPr>
                    <w:t>水质、水量</w:t>
                  </w:r>
                </w:p>
              </w:tc>
              <w:tc>
                <w:tcPr>
                  <w:tcW w:w="3301" w:type="dxa"/>
                  <w:vAlign w:val="center"/>
                </w:tcPr>
                <w:p>
                  <w:pPr>
                    <w:spacing w:line="360" w:lineRule="auto"/>
                    <w:jc w:val="center"/>
                    <w:rPr>
                      <w:spacing w:val="-16"/>
                      <w:szCs w:val="21"/>
                    </w:rPr>
                  </w:pPr>
                  <w:r>
                    <w:rPr>
                      <w:spacing w:val="-16"/>
                      <w:szCs w:val="21"/>
                    </w:rPr>
                    <w:t>《地下水质量标准》(GB/T14848-2017</w:t>
                  </w:r>
                  <w:r>
                    <w:rPr>
                      <w:rFonts w:hint="eastAsia"/>
                      <w:spacing w:val="-16"/>
                      <w:szCs w:val="21"/>
                    </w:rPr>
                    <w:t>)</w:t>
                  </w:r>
                  <w:r>
                    <w:rPr>
                      <w:spacing w:val="-16"/>
                      <w:szCs w:val="21"/>
                    </w:rPr>
                    <w:t>中</w:t>
                  </w:r>
                  <w:r>
                    <w:rPr>
                      <w:rFonts w:hint="eastAsia"/>
                      <w:spacing w:val="-16"/>
                      <w:szCs w:val="21"/>
                    </w:rPr>
                    <w:t>III</w:t>
                  </w:r>
                  <w:r>
                    <w:rPr>
                      <w:spacing w:val="-16"/>
                      <w:szCs w:val="21"/>
                    </w:rPr>
                    <w:t>类标准</w:t>
                  </w:r>
                </w:p>
              </w:tc>
            </w:tr>
          </w:tbl>
          <w:p>
            <w:pPr>
              <w:spacing w:line="360" w:lineRule="auto"/>
              <w:ind w:firstLine="480" w:firstLineChars="200"/>
              <w:rPr>
                <w:sz w:val="24"/>
                <w:szCs w:val="24"/>
              </w:rPr>
            </w:pPr>
            <w:r>
              <w:rPr>
                <w:rFonts w:hint="eastAsia"/>
                <w:sz w:val="24"/>
                <w:szCs w:val="24"/>
              </w:rPr>
              <w:t>本项目声环境保护目标及级别见表1</w:t>
            </w:r>
            <w:r>
              <w:rPr>
                <w:sz w:val="24"/>
                <w:szCs w:val="24"/>
              </w:rPr>
              <w:t>6</w:t>
            </w:r>
            <w:r>
              <w:rPr>
                <w:rFonts w:hint="eastAsia"/>
                <w:sz w:val="24"/>
                <w:szCs w:val="24"/>
              </w:rPr>
              <w:t>。</w:t>
            </w:r>
          </w:p>
          <w:p>
            <w:pPr>
              <w:spacing w:line="360" w:lineRule="auto"/>
              <w:jc w:val="center"/>
              <w:rPr>
                <w:spacing w:val="9"/>
                <w:sz w:val="24"/>
                <w:szCs w:val="24"/>
              </w:rPr>
            </w:pPr>
            <w:r>
              <w:rPr>
                <w:rFonts w:hint="eastAsia"/>
                <w:spacing w:val="9"/>
                <w:sz w:val="24"/>
                <w:szCs w:val="24"/>
              </w:rPr>
              <w:t>表</w:t>
            </w:r>
            <w:r>
              <w:rPr>
                <w:spacing w:val="9"/>
                <w:sz w:val="24"/>
                <w:szCs w:val="24"/>
              </w:rPr>
              <w:t xml:space="preserve">16 </w:t>
            </w:r>
            <w:r>
              <w:rPr>
                <w:rFonts w:hint="eastAsia"/>
                <w:spacing w:val="9"/>
                <w:sz w:val="24"/>
                <w:szCs w:val="24"/>
              </w:rPr>
              <w:t>声环境保护目标及级别一览表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9"/>
              <w:gridCol w:w="1783"/>
              <w:gridCol w:w="1195"/>
              <w:gridCol w:w="1332"/>
              <w:gridCol w:w="1356"/>
              <w:gridCol w:w="1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58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szCs w:val="21"/>
                    </w:rPr>
                  </w:pPr>
                  <w:r>
                    <w:rPr>
                      <w:rFonts w:hint="eastAsia"/>
                      <w:szCs w:val="21"/>
                    </w:rPr>
                    <w:t>类别</w:t>
                  </w:r>
                </w:p>
              </w:tc>
              <w:tc>
                <w:tcPr>
                  <w:tcW w:w="104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szCs w:val="21"/>
                    </w:rPr>
                  </w:pPr>
                  <w:r>
                    <w:rPr>
                      <w:rFonts w:hint="eastAsia"/>
                      <w:szCs w:val="21"/>
                    </w:rPr>
                    <w:t>环境保护目标</w:t>
                  </w:r>
                </w:p>
              </w:tc>
              <w:tc>
                <w:tcPr>
                  <w:tcW w:w="69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szCs w:val="21"/>
                    </w:rPr>
                  </w:pPr>
                  <w:r>
                    <w:rPr>
                      <w:rFonts w:hint="eastAsia"/>
                      <w:szCs w:val="21"/>
                    </w:rPr>
                    <w:t>位置关系</w:t>
                  </w:r>
                </w:p>
              </w:tc>
              <w:tc>
                <w:tcPr>
                  <w:tcW w:w="77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szCs w:val="21"/>
                    </w:rPr>
                  </w:pPr>
                  <w:r>
                    <w:rPr>
                      <w:rFonts w:hint="eastAsia"/>
                      <w:szCs w:val="21"/>
                    </w:rPr>
                    <w:t>影响时段</w:t>
                  </w:r>
                </w:p>
              </w:tc>
              <w:tc>
                <w:tcPr>
                  <w:tcW w:w="79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szCs w:val="21"/>
                    </w:rPr>
                  </w:pPr>
                  <w:r>
                    <w:rPr>
                      <w:rFonts w:hint="eastAsia"/>
                      <w:szCs w:val="21"/>
                    </w:rPr>
                    <w:t>影响因素</w:t>
                  </w:r>
                </w:p>
              </w:tc>
              <w:tc>
                <w:tcPr>
                  <w:tcW w:w="110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szCs w:val="21"/>
                    </w:rPr>
                  </w:pPr>
                  <w:r>
                    <w:rPr>
                      <w:rFonts w:hint="eastAsia"/>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szCs w:val="21"/>
                    </w:rPr>
                  </w:pPr>
                  <w:r>
                    <w:rPr>
                      <w:rFonts w:hint="eastAsia"/>
                      <w:szCs w:val="21"/>
                    </w:rPr>
                    <w:t>噪声</w:t>
                  </w:r>
                </w:p>
              </w:tc>
              <w:tc>
                <w:tcPr>
                  <w:tcW w:w="1739" w:type="pct"/>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szCs w:val="21"/>
                    </w:rPr>
                  </w:pPr>
                  <w:r>
                    <w:rPr>
                      <w:rFonts w:hint="eastAsia"/>
                      <w:szCs w:val="21"/>
                    </w:rPr>
                    <w:t>项目边界外</w:t>
                  </w:r>
                </w:p>
              </w:tc>
              <w:tc>
                <w:tcPr>
                  <w:tcW w:w="77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szCs w:val="21"/>
                    </w:rPr>
                  </w:pPr>
                  <w:r>
                    <w:rPr>
                      <w:rFonts w:hint="eastAsia"/>
                      <w:szCs w:val="21"/>
                    </w:rPr>
                    <w:t>施工期</w:t>
                  </w:r>
                </w:p>
                <w:p>
                  <w:pPr>
                    <w:spacing w:line="360" w:lineRule="auto"/>
                    <w:jc w:val="center"/>
                    <w:rPr>
                      <w:szCs w:val="21"/>
                    </w:rPr>
                  </w:pPr>
                  <w:r>
                    <w:rPr>
                      <w:rFonts w:hint="eastAsia"/>
                      <w:szCs w:val="21"/>
                    </w:rPr>
                    <w:t>运营期</w:t>
                  </w:r>
                </w:p>
              </w:tc>
              <w:tc>
                <w:tcPr>
                  <w:tcW w:w="79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szCs w:val="21"/>
                    </w:rPr>
                  </w:pPr>
                  <w:r>
                    <w:rPr>
                      <w:rFonts w:hint="eastAsia"/>
                      <w:szCs w:val="21"/>
                    </w:rPr>
                    <w:t>声环境质量</w:t>
                  </w:r>
                </w:p>
              </w:tc>
              <w:tc>
                <w:tcPr>
                  <w:tcW w:w="110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szCs w:val="21"/>
                    </w:rPr>
                  </w:pPr>
                  <w:r>
                    <w:rPr>
                      <w:szCs w:val="21"/>
                    </w:rPr>
                    <w:t>《声环境质量标准》(GB3096-2008)2类区标准</w:t>
                  </w:r>
                </w:p>
              </w:tc>
            </w:tr>
          </w:tbl>
          <w:p>
            <w:pPr>
              <w:autoSpaceDE w:val="0"/>
              <w:autoSpaceDN w:val="0"/>
              <w:spacing w:line="360" w:lineRule="auto"/>
              <w:jc w:val="left"/>
              <w:textAlignment w:val="auto"/>
              <w:rPr>
                <w:rFonts w:cs="宋体"/>
                <w:sz w:val="24"/>
                <w:szCs w:val="24"/>
              </w:rPr>
            </w:pPr>
          </w:p>
        </w:tc>
      </w:tr>
    </w:tbl>
    <w:p>
      <w:pPr>
        <w:spacing w:line="360" w:lineRule="auto"/>
        <w:rPr>
          <w:bCs/>
          <w:sz w:val="24"/>
          <w:szCs w:val="24"/>
        </w:rPr>
      </w:pPr>
    </w:p>
    <w:p>
      <w:pPr>
        <w:spacing w:line="360" w:lineRule="auto"/>
        <w:outlineLvl w:val="0"/>
        <w:rPr>
          <w:b/>
          <w:bCs/>
          <w:sz w:val="28"/>
          <w:szCs w:val="28"/>
        </w:rPr>
      </w:pPr>
      <w:r>
        <w:rPr>
          <w:b/>
          <w:bCs/>
          <w:sz w:val="28"/>
          <w:szCs w:val="28"/>
        </w:rPr>
        <w:t>评价适用标准</w:t>
      </w:r>
    </w:p>
    <w:tbl>
      <w:tblPr>
        <w:tblStyle w:val="27"/>
        <w:tblW w:w="8789"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7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220" w:hRule="atLeast"/>
        </w:trPr>
        <w:tc>
          <w:tcPr>
            <w:tcW w:w="851" w:type="dxa"/>
            <w:vAlign w:val="center"/>
          </w:tcPr>
          <w:p>
            <w:pPr>
              <w:spacing w:line="360" w:lineRule="auto"/>
              <w:jc w:val="center"/>
              <w:rPr>
                <w:b/>
                <w:bCs/>
                <w:sz w:val="24"/>
                <w:szCs w:val="24"/>
              </w:rPr>
            </w:pPr>
            <w:r>
              <w:rPr>
                <w:b/>
                <w:bCs/>
                <w:sz w:val="24"/>
                <w:szCs w:val="24"/>
              </w:rPr>
              <w:t>环</w:t>
            </w:r>
          </w:p>
          <w:p>
            <w:pPr>
              <w:spacing w:line="360" w:lineRule="auto"/>
              <w:jc w:val="center"/>
              <w:rPr>
                <w:b/>
                <w:bCs/>
                <w:sz w:val="24"/>
                <w:szCs w:val="24"/>
              </w:rPr>
            </w:pPr>
            <w:r>
              <w:rPr>
                <w:b/>
                <w:bCs/>
                <w:sz w:val="24"/>
                <w:szCs w:val="24"/>
              </w:rPr>
              <w:t>境</w:t>
            </w:r>
          </w:p>
          <w:p>
            <w:pPr>
              <w:spacing w:line="360" w:lineRule="auto"/>
              <w:jc w:val="center"/>
              <w:rPr>
                <w:b/>
                <w:bCs/>
                <w:sz w:val="24"/>
                <w:szCs w:val="24"/>
              </w:rPr>
            </w:pPr>
            <w:r>
              <w:rPr>
                <w:b/>
                <w:bCs/>
                <w:sz w:val="24"/>
                <w:szCs w:val="24"/>
              </w:rPr>
              <w:t>质</w:t>
            </w:r>
          </w:p>
          <w:p>
            <w:pPr>
              <w:spacing w:line="360" w:lineRule="auto"/>
              <w:jc w:val="center"/>
              <w:rPr>
                <w:b/>
                <w:bCs/>
                <w:sz w:val="24"/>
                <w:szCs w:val="24"/>
              </w:rPr>
            </w:pPr>
            <w:r>
              <w:rPr>
                <w:b/>
                <w:bCs/>
                <w:sz w:val="24"/>
                <w:szCs w:val="24"/>
              </w:rPr>
              <w:t>量</w:t>
            </w:r>
          </w:p>
          <w:p>
            <w:pPr>
              <w:spacing w:line="360" w:lineRule="auto"/>
              <w:jc w:val="center"/>
              <w:rPr>
                <w:b/>
                <w:bCs/>
                <w:sz w:val="24"/>
                <w:szCs w:val="24"/>
              </w:rPr>
            </w:pPr>
            <w:r>
              <w:rPr>
                <w:b/>
                <w:bCs/>
                <w:sz w:val="24"/>
                <w:szCs w:val="24"/>
              </w:rPr>
              <w:t>标</w:t>
            </w:r>
          </w:p>
          <w:p>
            <w:pPr>
              <w:spacing w:line="360" w:lineRule="auto"/>
              <w:jc w:val="center"/>
              <w:rPr>
                <w:b/>
                <w:bCs/>
                <w:sz w:val="24"/>
                <w:szCs w:val="24"/>
              </w:rPr>
            </w:pPr>
            <w:r>
              <w:rPr>
                <w:b/>
                <w:bCs/>
                <w:sz w:val="24"/>
                <w:szCs w:val="24"/>
              </w:rPr>
              <w:t>准</w:t>
            </w:r>
          </w:p>
        </w:tc>
        <w:tc>
          <w:tcPr>
            <w:tcW w:w="7938" w:type="dxa"/>
          </w:tcPr>
          <w:p>
            <w:pPr>
              <w:spacing w:line="360" w:lineRule="auto"/>
              <w:ind w:firstLine="480"/>
              <w:rPr>
                <w:sz w:val="24"/>
                <w:szCs w:val="24"/>
              </w:rPr>
            </w:pPr>
            <w:r>
              <w:rPr>
                <w:sz w:val="24"/>
                <w:szCs w:val="24"/>
              </w:rPr>
              <w:t>1、大气环境质量</w:t>
            </w:r>
            <w:r>
              <w:rPr>
                <w:rFonts w:hint="eastAsia"/>
                <w:sz w:val="24"/>
                <w:szCs w:val="24"/>
              </w:rPr>
              <w:t>标准</w:t>
            </w:r>
            <w:r>
              <w:rPr>
                <w:sz w:val="24"/>
                <w:szCs w:val="24"/>
              </w:rPr>
              <w:t>：PM</w:t>
            </w:r>
            <w:r>
              <w:rPr>
                <w:sz w:val="24"/>
                <w:szCs w:val="24"/>
                <w:vertAlign w:val="subscript"/>
              </w:rPr>
              <w:t>10</w:t>
            </w:r>
            <w:r>
              <w:rPr>
                <w:sz w:val="24"/>
                <w:szCs w:val="24"/>
              </w:rPr>
              <w:t>、SO</w:t>
            </w:r>
            <w:r>
              <w:rPr>
                <w:sz w:val="24"/>
                <w:szCs w:val="24"/>
                <w:vertAlign w:val="subscript"/>
              </w:rPr>
              <w:t>2</w:t>
            </w:r>
            <w:r>
              <w:rPr>
                <w:sz w:val="24"/>
                <w:szCs w:val="24"/>
              </w:rPr>
              <w:t>、</w:t>
            </w:r>
            <w:bookmarkStart w:id="12" w:name="OLE_LINK53"/>
            <w:r>
              <w:rPr>
                <w:sz w:val="24"/>
                <w:szCs w:val="24"/>
              </w:rPr>
              <w:t>PM</w:t>
            </w:r>
            <w:r>
              <w:rPr>
                <w:sz w:val="24"/>
                <w:szCs w:val="24"/>
                <w:vertAlign w:val="subscript"/>
              </w:rPr>
              <w:t>2.5</w:t>
            </w:r>
            <w:bookmarkEnd w:id="12"/>
            <w:r>
              <w:rPr>
                <w:sz w:val="24"/>
                <w:szCs w:val="24"/>
              </w:rPr>
              <w:t>、</w:t>
            </w:r>
            <w:bookmarkStart w:id="13" w:name="OLE_LINK54"/>
            <w:r>
              <w:rPr>
                <w:sz w:val="24"/>
                <w:szCs w:val="24"/>
              </w:rPr>
              <w:t>CO</w:t>
            </w:r>
            <w:bookmarkEnd w:id="13"/>
            <w:r>
              <w:rPr>
                <w:sz w:val="24"/>
                <w:szCs w:val="24"/>
              </w:rPr>
              <w:t>、</w:t>
            </w:r>
            <w:bookmarkStart w:id="14" w:name="OLE_LINK59"/>
            <w:r>
              <w:rPr>
                <w:sz w:val="24"/>
                <w:szCs w:val="24"/>
              </w:rPr>
              <w:t>O</w:t>
            </w:r>
            <w:r>
              <w:rPr>
                <w:sz w:val="24"/>
                <w:szCs w:val="24"/>
                <w:vertAlign w:val="subscript"/>
              </w:rPr>
              <w:t>3</w:t>
            </w:r>
            <w:bookmarkEnd w:id="14"/>
            <w:r>
              <w:rPr>
                <w:sz w:val="24"/>
                <w:szCs w:val="24"/>
              </w:rPr>
              <w:t>、</w:t>
            </w:r>
            <w:bookmarkStart w:id="15" w:name="OLE_LINK55"/>
            <w:r>
              <w:rPr>
                <w:sz w:val="24"/>
                <w:szCs w:val="24"/>
              </w:rPr>
              <w:t>NO</w:t>
            </w:r>
            <w:r>
              <w:rPr>
                <w:sz w:val="24"/>
                <w:szCs w:val="24"/>
                <w:vertAlign w:val="subscript"/>
              </w:rPr>
              <w:t>2</w:t>
            </w:r>
            <w:bookmarkEnd w:id="15"/>
            <w:r>
              <w:rPr>
                <w:sz w:val="24"/>
                <w:szCs w:val="24"/>
              </w:rPr>
              <w:t>执行《</w:t>
            </w:r>
            <w:bookmarkStart w:id="16" w:name="OLE_LINK56"/>
            <w:r>
              <w:rPr>
                <w:sz w:val="24"/>
                <w:szCs w:val="24"/>
              </w:rPr>
              <w:t>环境空气质量标准</w:t>
            </w:r>
            <w:bookmarkEnd w:id="16"/>
            <w:r>
              <w:rPr>
                <w:sz w:val="24"/>
                <w:szCs w:val="24"/>
              </w:rPr>
              <w:t>》（GB3095-2012）中的二级标准。H</w:t>
            </w:r>
            <w:r>
              <w:rPr>
                <w:sz w:val="24"/>
                <w:szCs w:val="24"/>
                <w:vertAlign w:val="subscript"/>
              </w:rPr>
              <w:t>2</w:t>
            </w:r>
            <w:r>
              <w:rPr>
                <w:sz w:val="24"/>
                <w:szCs w:val="24"/>
              </w:rPr>
              <w:t>S</w:t>
            </w:r>
            <w:r>
              <w:rPr>
                <w:rFonts w:hint="eastAsia"/>
                <w:sz w:val="24"/>
                <w:szCs w:val="24"/>
              </w:rPr>
              <w:t>、</w:t>
            </w:r>
            <w:r>
              <w:rPr>
                <w:sz w:val="24"/>
                <w:szCs w:val="24"/>
              </w:rPr>
              <w:t>NH</w:t>
            </w:r>
            <w:r>
              <w:rPr>
                <w:sz w:val="24"/>
                <w:szCs w:val="24"/>
                <w:vertAlign w:val="subscript"/>
              </w:rPr>
              <w:t>3</w:t>
            </w:r>
            <w:r>
              <w:rPr>
                <w:rFonts w:hint="eastAsia"/>
                <w:sz w:val="24"/>
                <w:szCs w:val="24"/>
              </w:rPr>
              <w:t>执行《环境影响评价技术导则大气环境》（</w:t>
            </w:r>
            <w:r>
              <w:rPr>
                <w:sz w:val="24"/>
                <w:szCs w:val="24"/>
              </w:rPr>
              <w:t>HJ2.2-2018</w:t>
            </w:r>
            <w:r>
              <w:rPr>
                <w:rFonts w:hint="eastAsia"/>
                <w:sz w:val="24"/>
                <w:szCs w:val="24"/>
              </w:rPr>
              <w:t>）附录</w:t>
            </w:r>
            <w:r>
              <w:rPr>
                <w:sz w:val="24"/>
                <w:szCs w:val="24"/>
              </w:rPr>
              <w:t>D</w:t>
            </w:r>
            <w:r>
              <w:rPr>
                <w:rFonts w:hint="eastAsia"/>
                <w:sz w:val="24"/>
                <w:szCs w:val="24"/>
              </w:rPr>
              <w:t>表</w:t>
            </w:r>
            <w:r>
              <w:rPr>
                <w:sz w:val="24"/>
                <w:szCs w:val="24"/>
              </w:rPr>
              <w:t>D.1</w:t>
            </w:r>
            <w:r>
              <w:rPr>
                <w:rFonts w:hint="eastAsia"/>
                <w:sz w:val="24"/>
                <w:szCs w:val="24"/>
              </w:rPr>
              <w:t>其他污染物空气质量浓度参考限值，见表1</w:t>
            </w:r>
            <w:r>
              <w:rPr>
                <w:sz w:val="24"/>
                <w:szCs w:val="24"/>
              </w:rPr>
              <w:t>7</w:t>
            </w:r>
            <w:r>
              <w:rPr>
                <w:rFonts w:hint="eastAsia"/>
                <w:sz w:val="24"/>
                <w:szCs w:val="24"/>
              </w:rPr>
              <w:t>。</w:t>
            </w:r>
          </w:p>
          <w:p>
            <w:pPr>
              <w:spacing w:line="360" w:lineRule="auto"/>
              <w:jc w:val="center"/>
              <w:rPr>
                <w:spacing w:val="9"/>
                <w:sz w:val="24"/>
                <w:szCs w:val="24"/>
              </w:rPr>
            </w:pPr>
            <w:r>
              <w:rPr>
                <w:rFonts w:hint="eastAsia"/>
                <w:spacing w:val="9"/>
                <w:sz w:val="24"/>
                <w:szCs w:val="24"/>
              </w:rPr>
              <w:t>表1</w:t>
            </w:r>
            <w:r>
              <w:rPr>
                <w:spacing w:val="9"/>
                <w:sz w:val="24"/>
                <w:szCs w:val="24"/>
              </w:rPr>
              <w:t xml:space="preserve">7 </w:t>
            </w:r>
            <w:r>
              <w:rPr>
                <w:rFonts w:hint="eastAsia"/>
                <w:spacing w:val="9"/>
                <w:sz w:val="24"/>
                <w:szCs w:val="24"/>
              </w:rPr>
              <w:t>环境空气质量标准</w:t>
            </w:r>
          </w:p>
          <w:tbl>
            <w:tblPr>
              <w:tblStyle w:val="111"/>
              <w:tblpPr w:leftFromText="180" w:rightFromText="180" w:vertAnchor="page" w:horzAnchor="margin" w:tblpY="2461"/>
              <w:tblOverlap w:val="never"/>
              <w:tblW w:w="7722"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1418"/>
              <w:gridCol w:w="1134"/>
              <w:gridCol w:w="1134"/>
              <w:gridCol w:w="276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1276" w:type="dxa"/>
                  <w:vAlign w:val="center"/>
                </w:tcPr>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污染物名称</w:t>
                  </w:r>
                </w:p>
              </w:tc>
              <w:tc>
                <w:tcPr>
                  <w:tcW w:w="1418" w:type="dxa"/>
                  <w:vAlign w:val="center"/>
                </w:tcPr>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取值时间</w:t>
                  </w:r>
                </w:p>
              </w:tc>
              <w:tc>
                <w:tcPr>
                  <w:tcW w:w="1134" w:type="dxa"/>
                  <w:vAlign w:val="center"/>
                </w:tcPr>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浓度限值</w:t>
                  </w:r>
                </w:p>
              </w:tc>
              <w:tc>
                <w:tcPr>
                  <w:tcW w:w="1134" w:type="dxa"/>
                  <w:vAlign w:val="center"/>
                </w:tcPr>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单位</w:t>
                  </w:r>
                </w:p>
              </w:tc>
              <w:tc>
                <w:tcPr>
                  <w:tcW w:w="2760" w:type="dxa"/>
                  <w:vAlign w:val="center"/>
                </w:tcPr>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标准来源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6" w:type="dxa"/>
                  <w:vMerge w:val="restart"/>
                  <w:vAlign w:val="center"/>
                </w:tcPr>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二氧化硫</w:t>
                  </w:r>
                </w:p>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SO</w:t>
                  </w:r>
                  <w:r>
                    <w:rPr>
                      <w:rFonts w:ascii="Times New Roman" w:hAnsi="Times New Roman" w:eastAsia="宋体" w:cstheme="minorBidi"/>
                      <w:kern w:val="2"/>
                      <w:szCs w:val="21"/>
                      <w:vertAlign w:val="subscript"/>
                    </w:rPr>
                    <w:t>2</w:t>
                  </w:r>
                </w:p>
              </w:tc>
              <w:tc>
                <w:tcPr>
                  <w:tcW w:w="1418" w:type="dxa"/>
                  <w:vAlign w:val="center"/>
                </w:tcPr>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年平均</w:t>
                  </w:r>
                </w:p>
              </w:tc>
              <w:tc>
                <w:tcPr>
                  <w:tcW w:w="1134" w:type="dxa"/>
                  <w:vAlign w:val="center"/>
                </w:tcPr>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6</w:t>
                  </w:r>
                  <w:r>
                    <w:rPr>
                      <w:rFonts w:ascii="Times New Roman" w:hAnsi="Times New Roman" w:eastAsia="宋体" w:cstheme="minorBidi"/>
                      <w:kern w:val="2"/>
                      <w:szCs w:val="21"/>
                    </w:rPr>
                    <w:t>0</w:t>
                  </w:r>
                </w:p>
              </w:tc>
              <w:tc>
                <w:tcPr>
                  <w:tcW w:w="1134" w:type="dxa"/>
                  <w:vMerge w:val="restart"/>
                  <w:vAlign w:val="center"/>
                </w:tcPr>
                <w:p>
                  <w:pPr>
                    <w:spacing w:line="360" w:lineRule="auto"/>
                    <w:jc w:val="center"/>
                    <w:rPr>
                      <w:rFonts w:ascii="Times New Roman" w:hAnsi="Times New Roman" w:eastAsia="宋体" w:cstheme="minorBidi"/>
                      <w:kern w:val="2"/>
                      <w:szCs w:val="21"/>
                    </w:rPr>
                  </w:pPr>
                  <w:r>
                    <w:rPr>
                      <w:rFonts w:ascii="Times New Roman" w:hAnsi="Times New Roman" w:eastAsia="宋体" w:cstheme="minorBidi"/>
                      <w:kern w:val="2"/>
                      <w:szCs w:val="21"/>
                    </w:rPr>
                    <w:t>ug/m</w:t>
                  </w:r>
                  <w:r>
                    <w:rPr>
                      <w:rFonts w:ascii="Times New Roman" w:hAnsi="Times New Roman" w:eastAsia="宋体" w:cstheme="minorBidi"/>
                      <w:kern w:val="2"/>
                      <w:szCs w:val="21"/>
                      <w:vertAlign w:val="superscript"/>
                    </w:rPr>
                    <w:t>3</w:t>
                  </w:r>
                </w:p>
              </w:tc>
              <w:tc>
                <w:tcPr>
                  <w:tcW w:w="2760" w:type="dxa"/>
                  <w:vMerge w:val="restart"/>
                  <w:vAlign w:val="center"/>
                </w:tcPr>
                <w:p>
                  <w:pPr>
                    <w:spacing w:line="360" w:lineRule="auto"/>
                    <w:jc w:val="center"/>
                    <w:rPr>
                      <w:rFonts w:ascii="Times New Roman" w:hAnsi="Times New Roman" w:eastAsia="宋体" w:cs="Times New Roman"/>
                      <w:kern w:val="2"/>
                      <w:szCs w:val="21"/>
                    </w:rPr>
                  </w:pPr>
                  <w:r>
                    <w:rPr>
                      <w:rFonts w:ascii="Times New Roman" w:hAnsi="Times New Roman" w:eastAsia="宋体" w:cs="Times New Roman"/>
                      <w:kern w:val="2"/>
                      <w:szCs w:val="21"/>
                    </w:rPr>
                    <w:t>《环境空气质量标准》</w:t>
                  </w:r>
                </w:p>
                <w:p>
                  <w:pPr>
                    <w:spacing w:line="360" w:lineRule="auto"/>
                    <w:jc w:val="center"/>
                    <w:rPr>
                      <w:rFonts w:ascii="Times New Roman" w:hAnsi="Times New Roman" w:eastAsia="宋体" w:cstheme="minorBidi"/>
                      <w:kern w:val="2"/>
                      <w:szCs w:val="21"/>
                    </w:rPr>
                  </w:pPr>
                  <w:r>
                    <w:rPr>
                      <w:rFonts w:ascii="Times New Roman" w:hAnsi="Times New Roman" w:eastAsia="宋体" w:cs="Times New Roman"/>
                      <w:kern w:val="2"/>
                      <w:szCs w:val="21"/>
                    </w:rPr>
                    <w:t>（GB3095-2012）二级标准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6" w:type="dxa"/>
                  <w:vMerge w:val="continue"/>
                  <w:vAlign w:val="center"/>
                </w:tcPr>
                <w:p>
                  <w:pPr>
                    <w:spacing w:line="360" w:lineRule="auto"/>
                    <w:jc w:val="center"/>
                    <w:rPr>
                      <w:rFonts w:ascii="Times New Roman" w:hAnsi="Times New Roman" w:eastAsia="宋体" w:cstheme="minorBidi"/>
                      <w:kern w:val="2"/>
                      <w:szCs w:val="21"/>
                    </w:rPr>
                  </w:pPr>
                </w:p>
              </w:tc>
              <w:tc>
                <w:tcPr>
                  <w:tcW w:w="1418" w:type="dxa"/>
                  <w:vAlign w:val="center"/>
                </w:tcPr>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2</w:t>
                  </w:r>
                  <w:r>
                    <w:rPr>
                      <w:rFonts w:ascii="Times New Roman" w:hAnsi="Times New Roman" w:eastAsia="宋体" w:cstheme="minorBidi"/>
                      <w:kern w:val="2"/>
                      <w:szCs w:val="21"/>
                    </w:rPr>
                    <w:t>4</w:t>
                  </w:r>
                  <w:r>
                    <w:rPr>
                      <w:rFonts w:hint="eastAsia" w:ascii="Times New Roman" w:hAnsi="Times New Roman" w:eastAsia="宋体" w:cstheme="minorBidi"/>
                      <w:kern w:val="2"/>
                      <w:szCs w:val="21"/>
                    </w:rPr>
                    <w:t>小时平均</w:t>
                  </w:r>
                </w:p>
              </w:tc>
              <w:tc>
                <w:tcPr>
                  <w:tcW w:w="1134" w:type="dxa"/>
                  <w:vAlign w:val="center"/>
                </w:tcPr>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1</w:t>
                  </w:r>
                  <w:r>
                    <w:rPr>
                      <w:rFonts w:ascii="Times New Roman" w:hAnsi="Times New Roman" w:eastAsia="宋体" w:cstheme="minorBidi"/>
                      <w:kern w:val="2"/>
                      <w:szCs w:val="21"/>
                    </w:rPr>
                    <w:t>50</w:t>
                  </w:r>
                </w:p>
              </w:tc>
              <w:tc>
                <w:tcPr>
                  <w:tcW w:w="1134" w:type="dxa"/>
                  <w:vMerge w:val="continue"/>
                  <w:vAlign w:val="center"/>
                </w:tcPr>
                <w:p>
                  <w:pPr>
                    <w:spacing w:line="360" w:lineRule="auto"/>
                    <w:jc w:val="center"/>
                    <w:rPr>
                      <w:rFonts w:ascii="Times New Roman" w:hAnsi="Times New Roman" w:eastAsia="宋体" w:cstheme="minorBidi"/>
                      <w:kern w:val="2"/>
                      <w:szCs w:val="21"/>
                    </w:rPr>
                  </w:pPr>
                </w:p>
              </w:tc>
              <w:tc>
                <w:tcPr>
                  <w:tcW w:w="2760" w:type="dxa"/>
                  <w:vMerge w:val="continue"/>
                  <w:vAlign w:val="center"/>
                </w:tcPr>
                <w:p>
                  <w:pPr>
                    <w:spacing w:line="360" w:lineRule="auto"/>
                    <w:jc w:val="center"/>
                    <w:rPr>
                      <w:rFonts w:ascii="Times New Roman" w:hAnsi="Times New Roman" w:eastAsia="宋体" w:cstheme="minorBidi"/>
                      <w:kern w:val="2"/>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6" w:type="dxa"/>
                  <w:vMerge w:val="continue"/>
                  <w:vAlign w:val="center"/>
                </w:tcPr>
                <w:p>
                  <w:pPr>
                    <w:spacing w:line="360" w:lineRule="auto"/>
                    <w:jc w:val="center"/>
                    <w:rPr>
                      <w:rFonts w:ascii="Times New Roman" w:hAnsi="Times New Roman" w:eastAsia="宋体" w:cstheme="minorBidi"/>
                      <w:kern w:val="2"/>
                      <w:szCs w:val="21"/>
                    </w:rPr>
                  </w:pPr>
                </w:p>
              </w:tc>
              <w:tc>
                <w:tcPr>
                  <w:tcW w:w="1418" w:type="dxa"/>
                  <w:vAlign w:val="center"/>
                </w:tcPr>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1小时平均</w:t>
                  </w:r>
                </w:p>
              </w:tc>
              <w:tc>
                <w:tcPr>
                  <w:tcW w:w="1134" w:type="dxa"/>
                  <w:vAlign w:val="center"/>
                </w:tcPr>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5</w:t>
                  </w:r>
                  <w:r>
                    <w:rPr>
                      <w:rFonts w:ascii="Times New Roman" w:hAnsi="Times New Roman" w:eastAsia="宋体" w:cstheme="minorBidi"/>
                      <w:kern w:val="2"/>
                      <w:szCs w:val="21"/>
                    </w:rPr>
                    <w:t>00</w:t>
                  </w:r>
                </w:p>
              </w:tc>
              <w:tc>
                <w:tcPr>
                  <w:tcW w:w="1134" w:type="dxa"/>
                  <w:vMerge w:val="continue"/>
                  <w:vAlign w:val="center"/>
                </w:tcPr>
                <w:p>
                  <w:pPr>
                    <w:spacing w:line="360" w:lineRule="auto"/>
                    <w:jc w:val="center"/>
                    <w:rPr>
                      <w:rFonts w:ascii="Times New Roman" w:hAnsi="Times New Roman" w:eastAsia="宋体" w:cstheme="minorBidi"/>
                      <w:kern w:val="2"/>
                      <w:szCs w:val="21"/>
                    </w:rPr>
                  </w:pPr>
                </w:p>
              </w:tc>
              <w:tc>
                <w:tcPr>
                  <w:tcW w:w="2760" w:type="dxa"/>
                  <w:vMerge w:val="continue"/>
                  <w:vAlign w:val="center"/>
                </w:tcPr>
                <w:p>
                  <w:pPr>
                    <w:spacing w:line="360" w:lineRule="auto"/>
                    <w:jc w:val="center"/>
                    <w:rPr>
                      <w:rFonts w:ascii="Times New Roman" w:hAnsi="Times New Roman" w:eastAsia="宋体" w:cstheme="minorBidi"/>
                      <w:kern w:val="2"/>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6" w:type="dxa"/>
                  <w:vMerge w:val="restart"/>
                  <w:vAlign w:val="center"/>
                </w:tcPr>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二氧化氮</w:t>
                  </w:r>
                </w:p>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NO</w:t>
                  </w:r>
                  <w:r>
                    <w:rPr>
                      <w:rFonts w:hint="eastAsia" w:ascii="Times New Roman" w:hAnsi="Times New Roman" w:eastAsia="宋体" w:cstheme="minorBidi"/>
                      <w:kern w:val="2"/>
                      <w:szCs w:val="21"/>
                      <w:vertAlign w:val="subscript"/>
                    </w:rPr>
                    <w:t>2</w:t>
                  </w:r>
                </w:p>
              </w:tc>
              <w:tc>
                <w:tcPr>
                  <w:tcW w:w="1418" w:type="dxa"/>
                  <w:vAlign w:val="center"/>
                </w:tcPr>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年平均</w:t>
                  </w:r>
                </w:p>
              </w:tc>
              <w:tc>
                <w:tcPr>
                  <w:tcW w:w="1134" w:type="dxa"/>
                  <w:vAlign w:val="center"/>
                </w:tcPr>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4</w:t>
                  </w:r>
                  <w:r>
                    <w:rPr>
                      <w:rFonts w:ascii="Times New Roman" w:hAnsi="Times New Roman" w:eastAsia="宋体" w:cstheme="minorBidi"/>
                      <w:kern w:val="2"/>
                      <w:szCs w:val="21"/>
                    </w:rPr>
                    <w:t>0</w:t>
                  </w:r>
                </w:p>
              </w:tc>
              <w:tc>
                <w:tcPr>
                  <w:tcW w:w="1134" w:type="dxa"/>
                  <w:vMerge w:val="continue"/>
                  <w:vAlign w:val="center"/>
                </w:tcPr>
                <w:p>
                  <w:pPr>
                    <w:spacing w:line="360" w:lineRule="auto"/>
                    <w:jc w:val="center"/>
                    <w:rPr>
                      <w:rFonts w:ascii="Times New Roman" w:hAnsi="Times New Roman" w:eastAsia="宋体" w:cstheme="minorBidi"/>
                      <w:kern w:val="2"/>
                      <w:szCs w:val="21"/>
                    </w:rPr>
                  </w:pPr>
                </w:p>
              </w:tc>
              <w:tc>
                <w:tcPr>
                  <w:tcW w:w="2760" w:type="dxa"/>
                  <w:vMerge w:val="continue"/>
                  <w:vAlign w:val="center"/>
                </w:tcPr>
                <w:p>
                  <w:pPr>
                    <w:spacing w:line="360" w:lineRule="auto"/>
                    <w:jc w:val="center"/>
                    <w:rPr>
                      <w:rFonts w:ascii="Times New Roman" w:hAnsi="Times New Roman" w:eastAsia="宋体" w:cstheme="minorBidi"/>
                      <w:kern w:val="2"/>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6" w:type="dxa"/>
                  <w:vMerge w:val="continue"/>
                  <w:vAlign w:val="center"/>
                </w:tcPr>
                <w:p>
                  <w:pPr>
                    <w:spacing w:line="360" w:lineRule="auto"/>
                    <w:jc w:val="center"/>
                    <w:rPr>
                      <w:rFonts w:ascii="Times New Roman" w:hAnsi="Times New Roman" w:eastAsia="宋体" w:cstheme="minorBidi"/>
                      <w:kern w:val="2"/>
                      <w:szCs w:val="21"/>
                    </w:rPr>
                  </w:pPr>
                </w:p>
              </w:tc>
              <w:tc>
                <w:tcPr>
                  <w:tcW w:w="1418" w:type="dxa"/>
                  <w:vAlign w:val="center"/>
                </w:tcPr>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2</w:t>
                  </w:r>
                  <w:r>
                    <w:rPr>
                      <w:rFonts w:ascii="Times New Roman" w:hAnsi="Times New Roman" w:eastAsia="宋体" w:cstheme="minorBidi"/>
                      <w:kern w:val="2"/>
                      <w:szCs w:val="21"/>
                    </w:rPr>
                    <w:t>4</w:t>
                  </w:r>
                  <w:r>
                    <w:rPr>
                      <w:rFonts w:hint="eastAsia" w:ascii="Times New Roman" w:hAnsi="Times New Roman" w:eastAsia="宋体" w:cstheme="minorBidi"/>
                      <w:kern w:val="2"/>
                      <w:szCs w:val="21"/>
                    </w:rPr>
                    <w:t>小时平均</w:t>
                  </w:r>
                </w:p>
              </w:tc>
              <w:tc>
                <w:tcPr>
                  <w:tcW w:w="1134" w:type="dxa"/>
                  <w:vAlign w:val="center"/>
                </w:tcPr>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8</w:t>
                  </w:r>
                  <w:r>
                    <w:rPr>
                      <w:rFonts w:ascii="Times New Roman" w:hAnsi="Times New Roman" w:eastAsia="宋体" w:cstheme="minorBidi"/>
                      <w:kern w:val="2"/>
                      <w:szCs w:val="21"/>
                    </w:rPr>
                    <w:t>0</w:t>
                  </w:r>
                </w:p>
              </w:tc>
              <w:tc>
                <w:tcPr>
                  <w:tcW w:w="1134" w:type="dxa"/>
                  <w:vMerge w:val="continue"/>
                  <w:vAlign w:val="center"/>
                </w:tcPr>
                <w:p>
                  <w:pPr>
                    <w:spacing w:line="360" w:lineRule="auto"/>
                    <w:jc w:val="center"/>
                    <w:rPr>
                      <w:rFonts w:ascii="Times New Roman" w:hAnsi="Times New Roman" w:eastAsia="宋体" w:cstheme="minorBidi"/>
                      <w:kern w:val="2"/>
                      <w:szCs w:val="21"/>
                    </w:rPr>
                  </w:pPr>
                </w:p>
              </w:tc>
              <w:tc>
                <w:tcPr>
                  <w:tcW w:w="2760" w:type="dxa"/>
                  <w:vMerge w:val="continue"/>
                  <w:vAlign w:val="center"/>
                </w:tcPr>
                <w:p>
                  <w:pPr>
                    <w:spacing w:line="360" w:lineRule="auto"/>
                    <w:jc w:val="center"/>
                    <w:rPr>
                      <w:rFonts w:ascii="Times New Roman" w:hAnsi="Times New Roman" w:eastAsia="宋体" w:cstheme="minorBidi"/>
                      <w:kern w:val="2"/>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6" w:type="dxa"/>
                  <w:vMerge w:val="continue"/>
                  <w:vAlign w:val="center"/>
                </w:tcPr>
                <w:p>
                  <w:pPr>
                    <w:spacing w:line="360" w:lineRule="auto"/>
                    <w:jc w:val="center"/>
                    <w:rPr>
                      <w:rFonts w:ascii="Times New Roman" w:hAnsi="Times New Roman" w:eastAsia="宋体" w:cstheme="minorBidi"/>
                      <w:kern w:val="2"/>
                      <w:szCs w:val="21"/>
                    </w:rPr>
                  </w:pPr>
                </w:p>
              </w:tc>
              <w:tc>
                <w:tcPr>
                  <w:tcW w:w="1418" w:type="dxa"/>
                  <w:vAlign w:val="center"/>
                </w:tcPr>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1小时平均</w:t>
                  </w:r>
                </w:p>
              </w:tc>
              <w:tc>
                <w:tcPr>
                  <w:tcW w:w="1134" w:type="dxa"/>
                  <w:vAlign w:val="center"/>
                </w:tcPr>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2</w:t>
                  </w:r>
                  <w:r>
                    <w:rPr>
                      <w:rFonts w:ascii="Times New Roman" w:hAnsi="Times New Roman" w:eastAsia="宋体" w:cstheme="minorBidi"/>
                      <w:kern w:val="2"/>
                      <w:szCs w:val="21"/>
                    </w:rPr>
                    <w:t>00</w:t>
                  </w:r>
                </w:p>
              </w:tc>
              <w:tc>
                <w:tcPr>
                  <w:tcW w:w="1134" w:type="dxa"/>
                  <w:vMerge w:val="continue"/>
                  <w:vAlign w:val="center"/>
                </w:tcPr>
                <w:p>
                  <w:pPr>
                    <w:spacing w:line="360" w:lineRule="auto"/>
                    <w:jc w:val="center"/>
                    <w:rPr>
                      <w:rFonts w:ascii="Times New Roman" w:hAnsi="Times New Roman" w:eastAsia="宋体" w:cstheme="minorBidi"/>
                      <w:kern w:val="2"/>
                      <w:szCs w:val="21"/>
                    </w:rPr>
                  </w:pPr>
                </w:p>
              </w:tc>
              <w:tc>
                <w:tcPr>
                  <w:tcW w:w="2760" w:type="dxa"/>
                  <w:vMerge w:val="continue"/>
                  <w:vAlign w:val="center"/>
                </w:tcPr>
                <w:p>
                  <w:pPr>
                    <w:spacing w:line="360" w:lineRule="auto"/>
                    <w:jc w:val="center"/>
                    <w:rPr>
                      <w:rFonts w:ascii="Times New Roman" w:hAnsi="Times New Roman" w:eastAsia="宋体" w:cstheme="minorBidi"/>
                      <w:kern w:val="2"/>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6" w:type="dxa"/>
                  <w:vMerge w:val="restart"/>
                  <w:vAlign w:val="center"/>
                </w:tcPr>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臭氧</w:t>
                  </w:r>
                </w:p>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O</w:t>
                  </w:r>
                  <w:r>
                    <w:rPr>
                      <w:rFonts w:hint="eastAsia" w:ascii="Times New Roman" w:hAnsi="Times New Roman" w:eastAsia="宋体" w:cstheme="minorBidi"/>
                      <w:kern w:val="2"/>
                      <w:szCs w:val="21"/>
                      <w:vertAlign w:val="subscript"/>
                    </w:rPr>
                    <w:t>3</w:t>
                  </w:r>
                </w:p>
              </w:tc>
              <w:tc>
                <w:tcPr>
                  <w:tcW w:w="1418" w:type="dxa"/>
                  <w:vAlign w:val="center"/>
                </w:tcPr>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日最大8小时平均</w:t>
                  </w:r>
                </w:p>
              </w:tc>
              <w:tc>
                <w:tcPr>
                  <w:tcW w:w="1134" w:type="dxa"/>
                  <w:vAlign w:val="center"/>
                </w:tcPr>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1</w:t>
                  </w:r>
                  <w:r>
                    <w:rPr>
                      <w:rFonts w:ascii="Times New Roman" w:hAnsi="Times New Roman" w:eastAsia="宋体" w:cstheme="minorBidi"/>
                      <w:kern w:val="2"/>
                      <w:szCs w:val="21"/>
                    </w:rPr>
                    <w:t>60</w:t>
                  </w:r>
                </w:p>
              </w:tc>
              <w:tc>
                <w:tcPr>
                  <w:tcW w:w="1134" w:type="dxa"/>
                  <w:vMerge w:val="continue"/>
                  <w:vAlign w:val="center"/>
                </w:tcPr>
                <w:p>
                  <w:pPr>
                    <w:spacing w:line="360" w:lineRule="auto"/>
                    <w:jc w:val="center"/>
                    <w:rPr>
                      <w:rFonts w:ascii="Times New Roman" w:hAnsi="Times New Roman" w:eastAsia="宋体" w:cstheme="minorBidi"/>
                      <w:kern w:val="2"/>
                      <w:szCs w:val="21"/>
                    </w:rPr>
                  </w:pPr>
                </w:p>
              </w:tc>
              <w:tc>
                <w:tcPr>
                  <w:tcW w:w="2760" w:type="dxa"/>
                  <w:vMerge w:val="continue"/>
                  <w:vAlign w:val="center"/>
                </w:tcPr>
                <w:p>
                  <w:pPr>
                    <w:spacing w:line="360" w:lineRule="auto"/>
                    <w:jc w:val="center"/>
                    <w:rPr>
                      <w:rFonts w:ascii="Times New Roman" w:hAnsi="Times New Roman" w:eastAsia="宋体" w:cstheme="minorBidi"/>
                      <w:kern w:val="2"/>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6" w:type="dxa"/>
                  <w:vMerge w:val="continue"/>
                  <w:vAlign w:val="center"/>
                </w:tcPr>
                <w:p>
                  <w:pPr>
                    <w:spacing w:line="360" w:lineRule="auto"/>
                    <w:jc w:val="center"/>
                    <w:rPr>
                      <w:rFonts w:ascii="Times New Roman" w:hAnsi="Times New Roman" w:eastAsia="宋体" w:cstheme="minorBidi"/>
                      <w:kern w:val="2"/>
                      <w:szCs w:val="21"/>
                    </w:rPr>
                  </w:pPr>
                </w:p>
              </w:tc>
              <w:tc>
                <w:tcPr>
                  <w:tcW w:w="1418" w:type="dxa"/>
                  <w:vAlign w:val="center"/>
                </w:tcPr>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1小时平均</w:t>
                  </w:r>
                </w:p>
              </w:tc>
              <w:tc>
                <w:tcPr>
                  <w:tcW w:w="1134" w:type="dxa"/>
                  <w:vAlign w:val="center"/>
                </w:tcPr>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2</w:t>
                  </w:r>
                  <w:r>
                    <w:rPr>
                      <w:rFonts w:ascii="Times New Roman" w:hAnsi="Times New Roman" w:eastAsia="宋体" w:cstheme="minorBidi"/>
                      <w:kern w:val="2"/>
                      <w:szCs w:val="21"/>
                    </w:rPr>
                    <w:t>00</w:t>
                  </w:r>
                </w:p>
              </w:tc>
              <w:tc>
                <w:tcPr>
                  <w:tcW w:w="1134" w:type="dxa"/>
                  <w:vMerge w:val="continue"/>
                  <w:vAlign w:val="center"/>
                </w:tcPr>
                <w:p>
                  <w:pPr>
                    <w:spacing w:line="360" w:lineRule="auto"/>
                    <w:jc w:val="center"/>
                    <w:rPr>
                      <w:rFonts w:ascii="Times New Roman" w:hAnsi="Times New Roman" w:eastAsia="宋体" w:cstheme="minorBidi"/>
                      <w:kern w:val="2"/>
                      <w:szCs w:val="21"/>
                    </w:rPr>
                  </w:pPr>
                </w:p>
              </w:tc>
              <w:tc>
                <w:tcPr>
                  <w:tcW w:w="2760" w:type="dxa"/>
                  <w:vMerge w:val="continue"/>
                  <w:vAlign w:val="center"/>
                </w:tcPr>
                <w:p>
                  <w:pPr>
                    <w:spacing w:line="360" w:lineRule="auto"/>
                    <w:jc w:val="center"/>
                    <w:rPr>
                      <w:rFonts w:ascii="Times New Roman" w:hAnsi="Times New Roman" w:eastAsia="宋体" w:cstheme="minorBidi"/>
                      <w:kern w:val="2"/>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6" w:type="dxa"/>
                  <w:vMerge w:val="restart"/>
                  <w:vAlign w:val="center"/>
                </w:tcPr>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总悬浮颗粒物</w:t>
                  </w:r>
                </w:p>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TSP</w:t>
                  </w:r>
                </w:p>
              </w:tc>
              <w:tc>
                <w:tcPr>
                  <w:tcW w:w="1418" w:type="dxa"/>
                  <w:vAlign w:val="center"/>
                </w:tcPr>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年平均</w:t>
                  </w:r>
                </w:p>
              </w:tc>
              <w:tc>
                <w:tcPr>
                  <w:tcW w:w="1134" w:type="dxa"/>
                  <w:vAlign w:val="center"/>
                </w:tcPr>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2</w:t>
                  </w:r>
                  <w:r>
                    <w:rPr>
                      <w:rFonts w:ascii="Times New Roman" w:hAnsi="Times New Roman" w:eastAsia="宋体" w:cstheme="minorBidi"/>
                      <w:kern w:val="2"/>
                      <w:szCs w:val="21"/>
                    </w:rPr>
                    <w:t>00</w:t>
                  </w:r>
                </w:p>
              </w:tc>
              <w:tc>
                <w:tcPr>
                  <w:tcW w:w="1134" w:type="dxa"/>
                  <w:vMerge w:val="continue"/>
                  <w:vAlign w:val="center"/>
                </w:tcPr>
                <w:p>
                  <w:pPr>
                    <w:spacing w:line="360" w:lineRule="auto"/>
                    <w:jc w:val="center"/>
                    <w:rPr>
                      <w:rFonts w:ascii="Times New Roman" w:hAnsi="Times New Roman" w:eastAsia="宋体" w:cstheme="minorBidi"/>
                      <w:kern w:val="2"/>
                      <w:szCs w:val="21"/>
                    </w:rPr>
                  </w:pPr>
                </w:p>
              </w:tc>
              <w:tc>
                <w:tcPr>
                  <w:tcW w:w="2760" w:type="dxa"/>
                  <w:vMerge w:val="continue"/>
                  <w:vAlign w:val="center"/>
                </w:tcPr>
                <w:p>
                  <w:pPr>
                    <w:spacing w:line="360" w:lineRule="auto"/>
                    <w:jc w:val="center"/>
                    <w:rPr>
                      <w:rFonts w:ascii="Times New Roman" w:hAnsi="Times New Roman" w:eastAsia="宋体" w:cstheme="minorBidi"/>
                      <w:kern w:val="2"/>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6" w:type="dxa"/>
                  <w:vMerge w:val="continue"/>
                  <w:vAlign w:val="center"/>
                </w:tcPr>
                <w:p>
                  <w:pPr>
                    <w:spacing w:line="360" w:lineRule="auto"/>
                    <w:jc w:val="center"/>
                    <w:rPr>
                      <w:rFonts w:ascii="Times New Roman" w:hAnsi="Times New Roman" w:eastAsia="宋体" w:cstheme="minorBidi"/>
                      <w:kern w:val="2"/>
                      <w:szCs w:val="21"/>
                    </w:rPr>
                  </w:pPr>
                </w:p>
              </w:tc>
              <w:tc>
                <w:tcPr>
                  <w:tcW w:w="1418" w:type="dxa"/>
                  <w:vAlign w:val="center"/>
                </w:tcPr>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2</w:t>
                  </w:r>
                  <w:r>
                    <w:rPr>
                      <w:rFonts w:ascii="Times New Roman" w:hAnsi="Times New Roman" w:eastAsia="宋体" w:cstheme="minorBidi"/>
                      <w:kern w:val="2"/>
                      <w:szCs w:val="21"/>
                    </w:rPr>
                    <w:t>4</w:t>
                  </w:r>
                  <w:r>
                    <w:rPr>
                      <w:rFonts w:hint="eastAsia" w:ascii="Times New Roman" w:hAnsi="Times New Roman" w:eastAsia="宋体" w:cstheme="minorBidi"/>
                      <w:kern w:val="2"/>
                      <w:szCs w:val="21"/>
                    </w:rPr>
                    <w:t>小时平均</w:t>
                  </w:r>
                </w:p>
              </w:tc>
              <w:tc>
                <w:tcPr>
                  <w:tcW w:w="1134" w:type="dxa"/>
                  <w:vAlign w:val="center"/>
                </w:tcPr>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3</w:t>
                  </w:r>
                  <w:r>
                    <w:rPr>
                      <w:rFonts w:ascii="Times New Roman" w:hAnsi="Times New Roman" w:eastAsia="宋体" w:cstheme="minorBidi"/>
                      <w:kern w:val="2"/>
                      <w:szCs w:val="21"/>
                    </w:rPr>
                    <w:t>00</w:t>
                  </w:r>
                </w:p>
              </w:tc>
              <w:tc>
                <w:tcPr>
                  <w:tcW w:w="1134" w:type="dxa"/>
                  <w:vMerge w:val="continue"/>
                  <w:vAlign w:val="center"/>
                </w:tcPr>
                <w:p>
                  <w:pPr>
                    <w:spacing w:line="360" w:lineRule="auto"/>
                    <w:jc w:val="center"/>
                    <w:rPr>
                      <w:rFonts w:ascii="Times New Roman" w:hAnsi="Times New Roman" w:eastAsia="宋体" w:cstheme="minorBidi"/>
                      <w:kern w:val="2"/>
                      <w:szCs w:val="21"/>
                    </w:rPr>
                  </w:pPr>
                </w:p>
              </w:tc>
              <w:tc>
                <w:tcPr>
                  <w:tcW w:w="2760" w:type="dxa"/>
                  <w:vMerge w:val="continue"/>
                  <w:vAlign w:val="center"/>
                </w:tcPr>
                <w:p>
                  <w:pPr>
                    <w:spacing w:line="360" w:lineRule="auto"/>
                    <w:jc w:val="center"/>
                    <w:rPr>
                      <w:rFonts w:ascii="Times New Roman" w:hAnsi="Times New Roman" w:eastAsia="宋体" w:cstheme="minorBidi"/>
                      <w:kern w:val="2"/>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6" w:type="dxa"/>
                  <w:vMerge w:val="restart"/>
                  <w:vAlign w:val="center"/>
                </w:tcPr>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P</w:t>
                  </w:r>
                  <w:r>
                    <w:rPr>
                      <w:rFonts w:ascii="Times New Roman" w:hAnsi="Times New Roman" w:eastAsia="宋体" w:cstheme="minorBidi"/>
                      <w:kern w:val="2"/>
                      <w:szCs w:val="21"/>
                    </w:rPr>
                    <w:t>M</w:t>
                  </w:r>
                  <w:r>
                    <w:rPr>
                      <w:rFonts w:ascii="Times New Roman" w:hAnsi="Times New Roman" w:eastAsia="宋体" w:cstheme="minorBidi"/>
                      <w:kern w:val="2"/>
                      <w:szCs w:val="21"/>
                      <w:vertAlign w:val="subscript"/>
                    </w:rPr>
                    <w:t>10</w:t>
                  </w:r>
                </w:p>
              </w:tc>
              <w:tc>
                <w:tcPr>
                  <w:tcW w:w="1418" w:type="dxa"/>
                  <w:vAlign w:val="center"/>
                </w:tcPr>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年平均</w:t>
                  </w:r>
                </w:p>
              </w:tc>
              <w:tc>
                <w:tcPr>
                  <w:tcW w:w="1134" w:type="dxa"/>
                  <w:vAlign w:val="center"/>
                </w:tcPr>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7</w:t>
                  </w:r>
                  <w:r>
                    <w:rPr>
                      <w:rFonts w:ascii="Times New Roman" w:hAnsi="Times New Roman" w:eastAsia="宋体" w:cstheme="minorBidi"/>
                      <w:kern w:val="2"/>
                      <w:szCs w:val="21"/>
                    </w:rPr>
                    <w:t>0</w:t>
                  </w:r>
                </w:p>
              </w:tc>
              <w:tc>
                <w:tcPr>
                  <w:tcW w:w="1134" w:type="dxa"/>
                  <w:vMerge w:val="continue"/>
                  <w:vAlign w:val="center"/>
                </w:tcPr>
                <w:p>
                  <w:pPr>
                    <w:spacing w:line="360" w:lineRule="auto"/>
                    <w:jc w:val="center"/>
                    <w:rPr>
                      <w:rFonts w:ascii="Times New Roman" w:hAnsi="Times New Roman" w:eastAsia="宋体" w:cstheme="minorBidi"/>
                      <w:kern w:val="2"/>
                      <w:szCs w:val="21"/>
                    </w:rPr>
                  </w:pPr>
                </w:p>
              </w:tc>
              <w:tc>
                <w:tcPr>
                  <w:tcW w:w="2760" w:type="dxa"/>
                  <w:vMerge w:val="continue"/>
                  <w:vAlign w:val="center"/>
                </w:tcPr>
                <w:p>
                  <w:pPr>
                    <w:spacing w:line="360" w:lineRule="auto"/>
                    <w:jc w:val="center"/>
                    <w:rPr>
                      <w:rFonts w:ascii="Times New Roman" w:hAnsi="Times New Roman" w:eastAsia="宋体" w:cstheme="minorBidi"/>
                      <w:kern w:val="2"/>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6" w:type="dxa"/>
                  <w:vMerge w:val="continue"/>
                  <w:vAlign w:val="center"/>
                </w:tcPr>
                <w:p>
                  <w:pPr>
                    <w:spacing w:line="360" w:lineRule="auto"/>
                    <w:jc w:val="center"/>
                    <w:rPr>
                      <w:rFonts w:ascii="Times New Roman" w:hAnsi="Times New Roman" w:eastAsia="宋体" w:cstheme="minorBidi"/>
                      <w:kern w:val="2"/>
                      <w:szCs w:val="21"/>
                    </w:rPr>
                  </w:pPr>
                </w:p>
              </w:tc>
              <w:tc>
                <w:tcPr>
                  <w:tcW w:w="1418" w:type="dxa"/>
                  <w:vAlign w:val="center"/>
                </w:tcPr>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2</w:t>
                  </w:r>
                  <w:r>
                    <w:rPr>
                      <w:rFonts w:ascii="Times New Roman" w:hAnsi="Times New Roman" w:eastAsia="宋体" w:cstheme="minorBidi"/>
                      <w:kern w:val="2"/>
                      <w:szCs w:val="21"/>
                    </w:rPr>
                    <w:t>4</w:t>
                  </w:r>
                  <w:r>
                    <w:rPr>
                      <w:rFonts w:hint="eastAsia" w:ascii="Times New Roman" w:hAnsi="Times New Roman" w:eastAsia="宋体" w:cstheme="minorBidi"/>
                      <w:kern w:val="2"/>
                      <w:szCs w:val="21"/>
                    </w:rPr>
                    <w:t>小时平均</w:t>
                  </w:r>
                </w:p>
              </w:tc>
              <w:tc>
                <w:tcPr>
                  <w:tcW w:w="1134" w:type="dxa"/>
                  <w:vAlign w:val="center"/>
                </w:tcPr>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1</w:t>
                  </w:r>
                  <w:r>
                    <w:rPr>
                      <w:rFonts w:ascii="Times New Roman" w:hAnsi="Times New Roman" w:eastAsia="宋体" w:cstheme="minorBidi"/>
                      <w:kern w:val="2"/>
                      <w:szCs w:val="21"/>
                    </w:rPr>
                    <w:t>50</w:t>
                  </w:r>
                </w:p>
              </w:tc>
              <w:tc>
                <w:tcPr>
                  <w:tcW w:w="1134" w:type="dxa"/>
                  <w:vMerge w:val="continue"/>
                  <w:vAlign w:val="center"/>
                </w:tcPr>
                <w:p>
                  <w:pPr>
                    <w:spacing w:line="360" w:lineRule="auto"/>
                    <w:jc w:val="center"/>
                    <w:rPr>
                      <w:rFonts w:ascii="Times New Roman" w:hAnsi="Times New Roman" w:eastAsia="宋体" w:cstheme="minorBidi"/>
                      <w:kern w:val="2"/>
                      <w:szCs w:val="21"/>
                    </w:rPr>
                  </w:pPr>
                </w:p>
              </w:tc>
              <w:tc>
                <w:tcPr>
                  <w:tcW w:w="2760" w:type="dxa"/>
                  <w:vMerge w:val="continue"/>
                  <w:vAlign w:val="center"/>
                </w:tcPr>
                <w:p>
                  <w:pPr>
                    <w:spacing w:line="360" w:lineRule="auto"/>
                    <w:jc w:val="center"/>
                    <w:rPr>
                      <w:rFonts w:ascii="Times New Roman" w:hAnsi="Times New Roman" w:eastAsia="宋体" w:cstheme="minorBidi"/>
                      <w:kern w:val="2"/>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6" w:type="dxa"/>
                  <w:vMerge w:val="restart"/>
                  <w:vAlign w:val="center"/>
                </w:tcPr>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P</w:t>
                  </w:r>
                  <w:r>
                    <w:rPr>
                      <w:rFonts w:ascii="Times New Roman" w:hAnsi="Times New Roman" w:eastAsia="宋体" w:cstheme="minorBidi"/>
                      <w:kern w:val="2"/>
                      <w:szCs w:val="21"/>
                    </w:rPr>
                    <w:t>M</w:t>
                  </w:r>
                  <w:r>
                    <w:rPr>
                      <w:rFonts w:ascii="Times New Roman" w:hAnsi="Times New Roman" w:eastAsia="宋体" w:cstheme="minorBidi"/>
                      <w:kern w:val="2"/>
                      <w:szCs w:val="21"/>
                      <w:vertAlign w:val="subscript"/>
                    </w:rPr>
                    <w:t>2.5</w:t>
                  </w:r>
                </w:p>
              </w:tc>
              <w:tc>
                <w:tcPr>
                  <w:tcW w:w="1418" w:type="dxa"/>
                  <w:vAlign w:val="center"/>
                </w:tcPr>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年平均</w:t>
                  </w:r>
                </w:p>
              </w:tc>
              <w:tc>
                <w:tcPr>
                  <w:tcW w:w="1134" w:type="dxa"/>
                  <w:vAlign w:val="center"/>
                </w:tcPr>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3</w:t>
                  </w:r>
                  <w:r>
                    <w:rPr>
                      <w:rFonts w:ascii="Times New Roman" w:hAnsi="Times New Roman" w:eastAsia="宋体" w:cstheme="minorBidi"/>
                      <w:kern w:val="2"/>
                      <w:szCs w:val="21"/>
                    </w:rPr>
                    <w:t>5</w:t>
                  </w:r>
                </w:p>
              </w:tc>
              <w:tc>
                <w:tcPr>
                  <w:tcW w:w="1134" w:type="dxa"/>
                  <w:vMerge w:val="continue"/>
                  <w:vAlign w:val="center"/>
                </w:tcPr>
                <w:p>
                  <w:pPr>
                    <w:spacing w:line="360" w:lineRule="auto"/>
                    <w:jc w:val="center"/>
                    <w:rPr>
                      <w:rFonts w:ascii="Times New Roman" w:hAnsi="Times New Roman" w:eastAsia="宋体" w:cstheme="minorBidi"/>
                      <w:kern w:val="2"/>
                      <w:szCs w:val="21"/>
                    </w:rPr>
                  </w:pPr>
                </w:p>
              </w:tc>
              <w:tc>
                <w:tcPr>
                  <w:tcW w:w="2760" w:type="dxa"/>
                  <w:vMerge w:val="continue"/>
                  <w:vAlign w:val="center"/>
                </w:tcPr>
                <w:p>
                  <w:pPr>
                    <w:spacing w:line="360" w:lineRule="auto"/>
                    <w:jc w:val="center"/>
                    <w:rPr>
                      <w:rFonts w:ascii="Times New Roman" w:hAnsi="Times New Roman" w:eastAsia="宋体" w:cstheme="minorBidi"/>
                      <w:kern w:val="2"/>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6" w:type="dxa"/>
                  <w:vMerge w:val="continue"/>
                  <w:vAlign w:val="center"/>
                </w:tcPr>
                <w:p>
                  <w:pPr>
                    <w:spacing w:line="360" w:lineRule="auto"/>
                    <w:jc w:val="center"/>
                    <w:rPr>
                      <w:rFonts w:ascii="Times New Roman" w:hAnsi="Times New Roman" w:eastAsia="宋体" w:cstheme="minorBidi"/>
                      <w:kern w:val="2"/>
                      <w:szCs w:val="21"/>
                    </w:rPr>
                  </w:pPr>
                </w:p>
              </w:tc>
              <w:tc>
                <w:tcPr>
                  <w:tcW w:w="1418" w:type="dxa"/>
                  <w:vAlign w:val="center"/>
                </w:tcPr>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2</w:t>
                  </w:r>
                  <w:r>
                    <w:rPr>
                      <w:rFonts w:ascii="Times New Roman" w:hAnsi="Times New Roman" w:eastAsia="宋体" w:cstheme="minorBidi"/>
                      <w:kern w:val="2"/>
                      <w:szCs w:val="21"/>
                    </w:rPr>
                    <w:t>4</w:t>
                  </w:r>
                  <w:r>
                    <w:rPr>
                      <w:rFonts w:hint="eastAsia" w:ascii="Times New Roman" w:hAnsi="Times New Roman" w:eastAsia="宋体" w:cstheme="minorBidi"/>
                      <w:kern w:val="2"/>
                      <w:szCs w:val="21"/>
                    </w:rPr>
                    <w:t>小时平均</w:t>
                  </w:r>
                </w:p>
              </w:tc>
              <w:tc>
                <w:tcPr>
                  <w:tcW w:w="1134" w:type="dxa"/>
                  <w:vAlign w:val="center"/>
                </w:tcPr>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7</w:t>
                  </w:r>
                  <w:r>
                    <w:rPr>
                      <w:rFonts w:ascii="Times New Roman" w:hAnsi="Times New Roman" w:eastAsia="宋体" w:cstheme="minorBidi"/>
                      <w:kern w:val="2"/>
                      <w:szCs w:val="21"/>
                    </w:rPr>
                    <w:t>5</w:t>
                  </w:r>
                </w:p>
              </w:tc>
              <w:tc>
                <w:tcPr>
                  <w:tcW w:w="1134" w:type="dxa"/>
                  <w:vMerge w:val="continue"/>
                  <w:vAlign w:val="center"/>
                </w:tcPr>
                <w:p>
                  <w:pPr>
                    <w:spacing w:line="360" w:lineRule="auto"/>
                    <w:jc w:val="center"/>
                    <w:rPr>
                      <w:rFonts w:ascii="Times New Roman" w:hAnsi="Times New Roman" w:eastAsia="宋体" w:cstheme="minorBidi"/>
                      <w:kern w:val="2"/>
                      <w:szCs w:val="21"/>
                    </w:rPr>
                  </w:pPr>
                </w:p>
              </w:tc>
              <w:tc>
                <w:tcPr>
                  <w:tcW w:w="2760" w:type="dxa"/>
                  <w:vMerge w:val="continue"/>
                  <w:vAlign w:val="center"/>
                </w:tcPr>
                <w:p>
                  <w:pPr>
                    <w:spacing w:line="360" w:lineRule="auto"/>
                    <w:jc w:val="center"/>
                    <w:rPr>
                      <w:rFonts w:ascii="Times New Roman" w:hAnsi="Times New Roman" w:eastAsia="宋体" w:cstheme="minorBidi"/>
                      <w:kern w:val="2"/>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6" w:type="dxa"/>
                  <w:vMerge w:val="restart"/>
                  <w:vAlign w:val="center"/>
                </w:tcPr>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一氧化碳</w:t>
                  </w:r>
                </w:p>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CO</w:t>
                  </w:r>
                </w:p>
              </w:tc>
              <w:tc>
                <w:tcPr>
                  <w:tcW w:w="1418" w:type="dxa"/>
                  <w:vAlign w:val="center"/>
                </w:tcPr>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2</w:t>
                  </w:r>
                  <w:r>
                    <w:rPr>
                      <w:rFonts w:ascii="Times New Roman" w:hAnsi="Times New Roman" w:eastAsia="宋体" w:cstheme="minorBidi"/>
                      <w:kern w:val="2"/>
                      <w:szCs w:val="21"/>
                    </w:rPr>
                    <w:t>4</w:t>
                  </w:r>
                  <w:r>
                    <w:rPr>
                      <w:rFonts w:hint="eastAsia" w:ascii="Times New Roman" w:hAnsi="Times New Roman" w:eastAsia="宋体" w:cstheme="minorBidi"/>
                      <w:kern w:val="2"/>
                      <w:szCs w:val="21"/>
                    </w:rPr>
                    <w:t>小时平均</w:t>
                  </w:r>
                </w:p>
              </w:tc>
              <w:tc>
                <w:tcPr>
                  <w:tcW w:w="1134" w:type="dxa"/>
                  <w:vAlign w:val="center"/>
                </w:tcPr>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4</w:t>
                  </w:r>
                </w:p>
              </w:tc>
              <w:tc>
                <w:tcPr>
                  <w:tcW w:w="1134" w:type="dxa"/>
                  <w:vMerge w:val="restart"/>
                  <w:vAlign w:val="center"/>
                </w:tcPr>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m</w:t>
                  </w:r>
                  <w:r>
                    <w:rPr>
                      <w:rFonts w:ascii="Times New Roman" w:hAnsi="Times New Roman" w:eastAsia="宋体" w:cstheme="minorBidi"/>
                      <w:kern w:val="2"/>
                      <w:szCs w:val="21"/>
                    </w:rPr>
                    <w:t>g/m</w:t>
                  </w:r>
                  <w:r>
                    <w:rPr>
                      <w:rFonts w:ascii="Times New Roman" w:hAnsi="Times New Roman" w:eastAsia="宋体" w:cstheme="minorBidi"/>
                      <w:kern w:val="2"/>
                      <w:szCs w:val="21"/>
                      <w:vertAlign w:val="superscript"/>
                    </w:rPr>
                    <w:t>3</w:t>
                  </w:r>
                </w:p>
              </w:tc>
              <w:tc>
                <w:tcPr>
                  <w:tcW w:w="2760" w:type="dxa"/>
                  <w:vMerge w:val="continue"/>
                  <w:vAlign w:val="center"/>
                </w:tcPr>
                <w:p>
                  <w:pPr>
                    <w:spacing w:line="360" w:lineRule="auto"/>
                    <w:jc w:val="center"/>
                    <w:rPr>
                      <w:rFonts w:ascii="Times New Roman" w:hAnsi="Times New Roman" w:eastAsia="宋体" w:cstheme="minorBidi"/>
                      <w:kern w:val="2"/>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6" w:type="dxa"/>
                  <w:vMerge w:val="continue"/>
                  <w:vAlign w:val="center"/>
                </w:tcPr>
                <w:p>
                  <w:pPr>
                    <w:spacing w:line="360" w:lineRule="auto"/>
                    <w:jc w:val="center"/>
                    <w:rPr>
                      <w:rFonts w:ascii="Times New Roman" w:hAnsi="Times New Roman" w:eastAsia="宋体" w:cstheme="minorBidi"/>
                      <w:kern w:val="2"/>
                      <w:szCs w:val="21"/>
                    </w:rPr>
                  </w:pPr>
                </w:p>
              </w:tc>
              <w:tc>
                <w:tcPr>
                  <w:tcW w:w="1418" w:type="dxa"/>
                  <w:vAlign w:val="center"/>
                </w:tcPr>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1小时平均</w:t>
                  </w:r>
                </w:p>
              </w:tc>
              <w:tc>
                <w:tcPr>
                  <w:tcW w:w="1134" w:type="dxa"/>
                  <w:vAlign w:val="center"/>
                </w:tcPr>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1</w:t>
                  </w:r>
                  <w:r>
                    <w:rPr>
                      <w:rFonts w:ascii="Times New Roman" w:hAnsi="Times New Roman" w:eastAsia="宋体" w:cstheme="minorBidi"/>
                      <w:kern w:val="2"/>
                      <w:szCs w:val="21"/>
                    </w:rPr>
                    <w:t>0</w:t>
                  </w:r>
                </w:p>
              </w:tc>
              <w:tc>
                <w:tcPr>
                  <w:tcW w:w="1134" w:type="dxa"/>
                  <w:vMerge w:val="continue"/>
                  <w:vAlign w:val="center"/>
                </w:tcPr>
                <w:p>
                  <w:pPr>
                    <w:spacing w:line="360" w:lineRule="auto"/>
                    <w:jc w:val="center"/>
                    <w:rPr>
                      <w:rFonts w:ascii="Times New Roman" w:hAnsi="Times New Roman" w:eastAsia="宋体" w:cstheme="minorBidi"/>
                      <w:kern w:val="2"/>
                      <w:szCs w:val="21"/>
                    </w:rPr>
                  </w:pPr>
                </w:p>
              </w:tc>
              <w:tc>
                <w:tcPr>
                  <w:tcW w:w="2760" w:type="dxa"/>
                  <w:vMerge w:val="continue"/>
                  <w:vAlign w:val="center"/>
                </w:tcPr>
                <w:p>
                  <w:pPr>
                    <w:spacing w:line="360" w:lineRule="auto"/>
                    <w:jc w:val="center"/>
                    <w:rPr>
                      <w:rFonts w:ascii="Times New Roman" w:hAnsi="Times New Roman" w:eastAsia="宋体" w:cstheme="minorBidi"/>
                      <w:kern w:val="2"/>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6" w:type="dxa"/>
                  <w:vAlign w:val="center"/>
                </w:tcPr>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H</w:t>
                  </w:r>
                  <w:r>
                    <w:rPr>
                      <w:rFonts w:hint="eastAsia" w:ascii="Times New Roman" w:hAnsi="Times New Roman" w:eastAsia="宋体" w:cstheme="minorBidi"/>
                      <w:kern w:val="2"/>
                      <w:szCs w:val="21"/>
                      <w:vertAlign w:val="subscript"/>
                    </w:rPr>
                    <w:t>2</w:t>
                  </w:r>
                  <w:r>
                    <w:rPr>
                      <w:rFonts w:hint="eastAsia" w:ascii="Times New Roman" w:hAnsi="Times New Roman" w:eastAsia="宋体" w:cstheme="minorBidi"/>
                      <w:kern w:val="2"/>
                      <w:szCs w:val="21"/>
                    </w:rPr>
                    <w:t>S</w:t>
                  </w:r>
                </w:p>
              </w:tc>
              <w:tc>
                <w:tcPr>
                  <w:tcW w:w="1418" w:type="dxa"/>
                  <w:vAlign w:val="center"/>
                </w:tcPr>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1小时平均</w:t>
                  </w:r>
                </w:p>
              </w:tc>
              <w:tc>
                <w:tcPr>
                  <w:tcW w:w="1134" w:type="dxa"/>
                  <w:vAlign w:val="center"/>
                </w:tcPr>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1</w:t>
                  </w:r>
                  <w:r>
                    <w:rPr>
                      <w:rFonts w:ascii="Times New Roman" w:hAnsi="Times New Roman" w:eastAsia="宋体" w:cstheme="minorBidi"/>
                      <w:kern w:val="2"/>
                      <w:szCs w:val="21"/>
                    </w:rPr>
                    <w:t>0</w:t>
                  </w:r>
                </w:p>
              </w:tc>
              <w:tc>
                <w:tcPr>
                  <w:tcW w:w="1134" w:type="dxa"/>
                  <w:vMerge w:val="restart"/>
                  <w:vAlign w:val="center"/>
                </w:tcPr>
                <w:p>
                  <w:pPr>
                    <w:spacing w:line="360" w:lineRule="auto"/>
                    <w:jc w:val="center"/>
                    <w:rPr>
                      <w:rFonts w:ascii="Times New Roman" w:hAnsi="Times New Roman" w:eastAsia="宋体" w:cstheme="minorBidi"/>
                      <w:kern w:val="2"/>
                      <w:szCs w:val="21"/>
                    </w:rPr>
                  </w:pPr>
                  <w:r>
                    <w:rPr>
                      <w:rFonts w:ascii="Times New Roman" w:hAnsi="Times New Roman" w:eastAsia="宋体" w:cstheme="minorBidi"/>
                      <w:kern w:val="2"/>
                      <w:szCs w:val="21"/>
                    </w:rPr>
                    <w:t>ug/m</w:t>
                  </w:r>
                  <w:r>
                    <w:rPr>
                      <w:rFonts w:ascii="Times New Roman" w:hAnsi="Times New Roman" w:eastAsia="宋体" w:cstheme="minorBidi"/>
                      <w:kern w:val="2"/>
                      <w:szCs w:val="21"/>
                      <w:vertAlign w:val="superscript"/>
                    </w:rPr>
                    <w:t>3</w:t>
                  </w:r>
                </w:p>
              </w:tc>
              <w:tc>
                <w:tcPr>
                  <w:tcW w:w="2760" w:type="dxa"/>
                  <w:vMerge w:val="restart"/>
                  <w:vAlign w:val="center"/>
                </w:tcPr>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《环境影响评价技术导则</w:t>
                  </w:r>
                  <w:r>
                    <w:rPr>
                      <w:rFonts w:ascii="Times New Roman" w:hAnsi="Times New Roman" w:eastAsia="宋体" w:cs="Times New Roman"/>
                      <w:kern w:val="2"/>
                      <w:szCs w:val="21"/>
                    </w:rPr>
                    <w:t>·</w:t>
                  </w:r>
                  <w:r>
                    <w:rPr>
                      <w:rFonts w:hint="eastAsia" w:ascii="Times New Roman" w:hAnsi="Times New Roman" w:eastAsia="宋体" w:cstheme="minorBidi"/>
                      <w:kern w:val="2"/>
                      <w:szCs w:val="21"/>
                    </w:rPr>
                    <w:t>大气环境》</w:t>
                  </w:r>
                </w:p>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w:t>
                  </w:r>
                  <w:r>
                    <w:rPr>
                      <w:rFonts w:ascii="Times New Roman" w:hAnsi="Times New Roman" w:eastAsia="宋体" w:cstheme="minorBidi"/>
                      <w:kern w:val="2"/>
                      <w:szCs w:val="21"/>
                    </w:rPr>
                    <w:t>HJ2.2-2018</w:t>
                  </w:r>
                  <w:r>
                    <w:rPr>
                      <w:rFonts w:hint="eastAsia" w:ascii="Times New Roman" w:hAnsi="Times New Roman" w:eastAsia="宋体" w:cstheme="minorBidi"/>
                      <w:kern w:val="2"/>
                      <w:szCs w:val="21"/>
                    </w:rPr>
                    <w:t>）附录</w:t>
                  </w:r>
                  <w:r>
                    <w:rPr>
                      <w:rFonts w:ascii="Times New Roman" w:hAnsi="Times New Roman" w:eastAsia="宋体" w:cstheme="minorBidi"/>
                      <w:kern w:val="2"/>
                      <w:szCs w:val="21"/>
                    </w:rPr>
                    <w:t>D</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6" w:type="dxa"/>
                  <w:vAlign w:val="center"/>
                </w:tcPr>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NH</w:t>
                  </w:r>
                  <w:r>
                    <w:rPr>
                      <w:rFonts w:hint="eastAsia" w:ascii="Times New Roman" w:hAnsi="Times New Roman" w:eastAsia="宋体" w:cstheme="minorBidi"/>
                      <w:kern w:val="2"/>
                      <w:szCs w:val="21"/>
                      <w:vertAlign w:val="subscript"/>
                    </w:rPr>
                    <w:t>3</w:t>
                  </w:r>
                </w:p>
              </w:tc>
              <w:tc>
                <w:tcPr>
                  <w:tcW w:w="1418" w:type="dxa"/>
                  <w:vAlign w:val="center"/>
                </w:tcPr>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1小时平均</w:t>
                  </w:r>
                </w:p>
              </w:tc>
              <w:tc>
                <w:tcPr>
                  <w:tcW w:w="1134" w:type="dxa"/>
                  <w:vAlign w:val="center"/>
                </w:tcPr>
                <w:p>
                  <w:pPr>
                    <w:spacing w:line="360" w:lineRule="auto"/>
                    <w:jc w:val="center"/>
                    <w:rPr>
                      <w:rFonts w:ascii="Times New Roman" w:hAnsi="Times New Roman" w:eastAsia="宋体" w:cstheme="minorBidi"/>
                      <w:kern w:val="2"/>
                      <w:szCs w:val="21"/>
                    </w:rPr>
                  </w:pPr>
                  <w:r>
                    <w:rPr>
                      <w:rFonts w:hint="eastAsia" w:ascii="Times New Roman" w:hAnsi="Times New Roman" w:eastAsia="宋体" w:cstheme="minorBidi"/>
                      <w:kern w:val="2"/>
                      <w:szCs w:val="21"/>
                    </w:rPr>
                    <w:t>2</w:t>
                  </w:r>
                  <w:r>
                    <w:rPr>
                      <w:rFonts w:ascii="Times New Roman" w:hAnsi="Times New Roman" w:eastAsia="宋体" w:cstheme="minorBidi"/>
                      <w:kern w:val="2"/>
                      <w:szCs w:val="21"/>
                    </w:rPr>
                    <w:t>00</w:t>
                  </w:r>
                </w:p>
              </w:tc>
              <w:tc>
                <w:tcPr>
                  <w:tcW w:w="1134" w:type="dxa"/>
                  <w:vMerge w:val="continue"/>
                  <w:vAlign w:val="center"/>
                </w:tcPr>
                <w:p>
                  <w:pPr>
                    <w:spacing w:line="360" w:lineRule="auto"/>
                    <w:jc w:val="center"/>
                    <w:rPr>
                      <w:rFonts w:ascii="Times New Roman" w:hAnsi="Times New Roman" w:eastAsia="宋体" w:cstheme="minorBidi"/>
                      <w:kern w:val="2"/>
                      <w:szCs w:val="21"/>
                    </w:rPr>
                  </w:pPr>
                </w:p>
              </w:tc>
              <w:tc>
                <w:tcPr>
                  <w:tcW w:w="2760" w:type="dxa"/>
                  <w:vMerge w:val="continue"/>
                  <w:vAlign w:val="center"/>
                </w:tcPr>
                <w:p>
                  <w:pPr>
                    <w:spacing w:line="360" w:lineRule="auto"/>
                    <w:jc w:val="center"/>
                    <w:rPr>
                      <w:rFonts w:ascii="Times New Roman" w:hAnsi="Times New Roman" w:eastAsia="宋体" w:cstheme="minorBidi"/>
                      <w:kern w:val="2"/>
                      <w:szCs w:val="21"/>
                    </w:rPr>
                  </w:pPr>
                </w:p>
              </w:tc>
            </w:tr>
          </w:tbl>
          <w:p>
            <w:pPr>
              <w:spacing w:line="360" w:lineRule="auto"/>
              <w:ind w:firstLine="480" w:firstLineChars="200"/>
              <w:rPr>
                <w:sz w:val="24"/>
                <w:szCs w:val="24"/>
              </w:rPr>
            </w:pPr>
            <w:r>
              <w:rPr>
                <w:sz w:val="24"/>
                <w:szCs w:val="24"/>
              </w:rPr>
              <w:t>2、水环境质量标准：地表水执行《地表水环境质量标准》（GB3838-2002）中的Ⅲ类标准，</w:t>
            </w:r>
            <w:r>
              <w:rPr>
                <w:rFonts w:hint="eastAsia"/>
                <w:sz w:val="24"/>
                <w:szCs w:val="24"/>
              </w:rPr>
              <w:t>见表1</w:t>
            </w:r>
            <w:r>
              <w:rPr>
                <w:sz w:val="24"/>
                <w:szCs w:val="24"/>
              </w:rPr>
              <w:t>8</w:t>
            </w:r>
            <w:r>
              <w:rPr>
                <w:rFonts w:hint="eastAsia"/>
                <w:sz w:val="24"/>
                <w:szCs w:val="24"/>
              </w:rPr>
              <w:t>。</w:t>
            </w:r>
          </w:p>
          <w:p>
            <w:pPr>
              <w:spacing w:line="360" w:lineRule="auto"/>
              <w:jc w:val="center"/>
              <w:rPr>
                <w:spacing w:val="9"/>
                <w:sz w:val="24"/>
                <w:szCs w:val="24"/>
              </w:rPr>
            </w:pPr>
            <w:r>
              <w:rPr>
                <w:rFonts w:hint="eastAsia"/>
                <w:spacing w:val="9"/>
                <w:sz w:val="24"/>
                <w:szCs w:val="24"/>
              </w:rPr>
              <w:t>表1</w:t>
            </w:r>
            <w:r>
              <w:rPr>
                <w:spacing w:val="9"/>
                <w:sz w:val="24"/>
                <w:szCs w:val="24"/>
              </w:rPr>
              <w:t xml:space="preserve">8 </w:t>
            </w:r>
            <w:r>
              <w:rPr>
                <w:rFonts w:hint="eastAsia"/>
                <w:spacing w:val="9"/>
                <w:sz w:val="24"/>
                <w:szCs w:val="24"/>
              </w:rPr>
              <w:t>地表水环境质量标准</w:t>
            </w:r>
          </w:p>
          <w:tbl>
            <w:tblPr>
              <w:tblStyle w:val="28"/>
              <w:tblW w:w="7722"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37"/>
              <w:gridCol w:w="1623"/>
              <w:gridCol w:w="1931"/>
              <w:gridCol w:w="193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37" w:type="dxa"/>
                  <w:vAlign w:val="center"/>
                </w:tcPr>
                <w:p>
                  <w:pPr>
                    <w:spacing w:line="360" w:lineRule="auto"/>
                    <w:jc w:val="center"/>
                    <w:rPr>
                      <w:szCs w:val="21"/>
                    </w:rPr>
                  </w:pPr>
                  <w:r>
                    <w:rPr>
                      <w:rFonts w:hint="eastAsia"/>
                      <w:szCs w:val="21"/>
                    </w:rPr>
                    <w:t>因子</w:t>
                  </w:r>
                </w:p>
              </w:tc>
              <w:tc>
                <w:tcPr>
                  <w:tcW w:w="1623" w:type="dxa"/>
                  <w:vAlign w:val="center"/>
                </w:tcPr>
                <w:p>
                  <w:pPr>
                    <w:spacing w:line="360" w:lineRule="auto"/>
                    <w:jc w:val="center"/>
                    <w:rPr>
                      <w:szCs w:val="21"/>
                    </w:rPr>
                  </w:pPr>
                  <w:r>
                    <w:rPr>
                      <w:rFonts w:hint="eastAsia"/>
                      <w:szCs w:val="21"/>
                    </w:rPr>
                    <w:t>标准值</w:t>
                  </w:r>
                </w:p>
              </w:tc>
              <w:tc>
                <w:tcPr>
                  <w:tcW w:w="1931" w:type="dxa"/>
                  <w:vAlign w:val="center"/>
                </w:tcPr>
                <w:p>
                  <w:pPr>
                    <w:spacing w:line="360" w:lineRule="auto"/>
                    <w:jc w:val="center"/>
                    <w:rPr>
                      <w:szCs w:val="21"/>
                    </w:rPr>
                  </w:pPr>
                  <w:r>
                    <w:rPr>
                      <w:rFonts w:hint="eastAsia"/>
                      <w:szCs w:val="21"/>
                    </w:rPr>
                    <w:t>单位</w:t>
                  </w:r>
                </w:p>
              </w:tc>
              <w:tc>
                <w:tcPr>
                  <w:tcW w:w="1931" w:type="dxa"/>
                  <w:vAlign w:val="center"/>
                </w:tcPr>
                <w:p>
                  <w:pPr>
                    <w:spacing w:line="360" w:lineRule="auto"/>
                    <w:jc w:val="center"/>
                    <w:rPr>
                      <w:szCs w:val="21"/>
                    </w:rPr>
                  </w:pPr>
                  <w:r>
                    <w:rPr>
                      <w:rFonts w:hint="eastAsia"/>
                      <w:szCs w:val="21"/>
                    </w:rPr>
                    <w:t>标准来源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37" w:type="dxa"/>
                  <w:vAlign w:val="center"/>
                </w:tcPr>
                <w:p>
                  <w:pPr>
                    <w:spacing w:line="360" w:lineRule="auto"/>
                    <w:jc w:val="center"/>
                    <w:rPr>
                      <w:szCs w:val="21"/>
                    </w:rPr>
                  </w:pPr>
                  <w:r>
                    <w:rPr>
                      <w:rFonts w:hint="eastAsia"/>
                      <w:szCs w:val="21"/>
                    </w:rPr>
                    <w:t>pH</w:t>
                  </w:r>
                </w:p>
              </w:tc>
              <w:tc>
                <w:tcPr>
                  <w:tcW w:w="1623" w:type="dxa"/>
                  <w:vAlign w:val="center"/>
                </w:tcPr>
                <w:p>
                  <w:pPr>
                    <w:spacing w:line="360" w:lineRule="auto"/>
                    <w:jc w:val="center"/>
                    <w:rPr>
                      <w:szCs w:val="21"/>
                    </w:rPr>
                  </w:pPr>
                  <w:r>
                    <w:rPr>
                      <w:rFonts w:hint="eastAsia"/>
                      <w:szCs w:val="21"/>
                    </w:rPr>
                    <w:t>6</w:t>
                  </w:r>
                  <w:r>
                    <w:rPr>
                      <w:szCs w:val="21"/>
                    </w:rPr>
                    <w:t>~9</w:t>
                  </w:r>
                </w:p>
              </w:tc>
              <w:tc>
                <w:tcPr>
                  <w:tcW w:w="1931" w:type="dxa"/>
                  <w:vAlign w:val="center"/>
                </w:tcPr>
                <w:p>
                  <w:pPr>
                    <w:spacing w:line="360" w:lineRule="auto"/>
                    <w:jc w:val="center"/>
                    <w:rPr>
                      <w:szCs w:val="21"/>
                    </w:rPr>
                  </w:pPr>
                  <w:r>
                    <w:rPr>
                      <w:rFonts w:hint="eastAsia"/>
                      <w:szCs w:val="21"/>
                    </w:rPr>
                    <w:t>无量纲</w:t>
                  </w:r>
                </w:p>
              </w:tc>
              <w:tc>
                <w:tcPr>
                  <w:tcW w:w="1931" w:type="dxa"/>
                  <w:vMerge w:val="restart"/>
                  <w:vAlign w:val="center"/>
                </w:tcPr>
                <w:p>
                  <w:pPr>
                    <w:spacing w:line="360" w:lineRule="auto"/>
                    <w:jc w:val="center"/>
                    <w:rPr>
                      <w:szCs w:val="21"/>
                    </w:rPr>
                  </w:pPr>
                  <w:r>
                    <w:rPr>
                      <w:szCs w:val="21"/>
                    </w:rPr>
                    <w:t>《地表水环境质量标准》</w:t>
                  </w:r>
                  <w:r>
                    <w:rPr>
                      <w:rFonts w:hint="eastAsia"/>
                      <w:szCs w:val="21"/>
                    </w:rPr>
                    <w:t>（</w:t>
                  </w:r>
                  <w:r>
                    <w:rPr>
                      <w:szCs w:val="21"/>
                    </w:rPr>
                    <w:t>GB3838-2002）Ⅲ类标准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37" w:type="dxa"/>
                  <w:vAlign w:val="center"/>
                </w:tcPr>
                <w:p>
                  <w:pPr>
                    <w:spacing w:line="360" w:lineRule="auto"/>
                    <w:jc w:val="center"/>
                    <w:rPr>
                      <w:szCs w:val="21"/>
                    </w:rPr>
                  </w:pPr>
                  <w:r>
                    <w:rPr>
                      <w:rFonts w:hint="eastAsia"/>
                      <w:szCs w:val="21"/>
                    </w:rPr>
                    <w:t>COD</w:t>
                  </w:r>
                  <w:r>
                    <w:rPr>
                      <w:rFonts w:hint="eastAsia"/>
                      <w:szCs w:val="21"/>
                      <w:vertAlign w:val="subscript"/>
                    </w:rPr>
                    <w:t>cr</w:t>
                  </w:r>
                  <w:r>
                    <w:rPr>
                      <w:rFonts w:hint="eastAsia"/>
                      <w:szCs w:val="21"/>
                    </w:rPr>
                    <w:t>≤</w:t>
                  </w:r>
                </w:p>
              </w:tc>
              <w:tc>
                <w:tcPr>
                  <w:tcW w:w="1623" w:type="dxa"/>
                  <w:vAlign w:val="center"/>
                </w:tcPr>
                <w:p>
                  <w:pPr>
                    <w:spacing w:line="360" w:lineRule="auto"/>
                    <w:jc w:val="center"/>
                    <w:rPr>
                      <w:szCs w:val="21"/>
                    </w:rPr>
                  </w:pPr>
                  <w:r>
                    <w:rPr>
                      <w:rFonts w:hint="eastAsia"/>
                      <w:szCs w:val="21"/>
                    </w:rPr>
                    <w:t>2</w:t>
                  </w:r>
                  <w:r>
                    <w:rPr>
                      <w:szCs w:val="21"/>
                    </w:rPr>
                    <w:t>0</w:t>
                  </w:r>
                </w:p>
              </w:tc>
              <w:tc>
                <w:tcPr>
                  <w:tcW w:w="1931" w:type="dxa"/>
                  <w:vMerge w:val="restart"/>
                  <w:vAlign w:val="center"/>
                </w:tcPr>
                <w:p>
                  <w:pPr>
                    <w:spacing w:line="360" w:lineRule="auto"/>
                    <w:jc w:val="center"/>
                    <w:rPr>
                      <w:szCs w:val="21"/>
                    </w:rPr>
                  </w:pPr>
                  <w:r>
                    <w:rPr>
                      <w:rFonts w:hint="eastAsia"/>
                      <w:szCs w:val="21"/>
                    </w:rPr>
                    <w:t>mg</w:t>
                  </w:r>
                  <w:r>
                    <w:rPr>
                      <w:szCs w:val="21"/>
                    </w:rPr>
                    <w:t>/</w:t>
                  </w:r>
                  <w:r>
                    <w:rPr>
                      <w:rFonts w:hint="eastAsia"/>
                      <w:szCs w:val="21"/>
                    </w:rPr>
                    <w:t>L</w:t>
                  </w:r>
                </w:p>
              </w:tc>
              <w:tc>
                <w:tcPr>
                  <w:tcW w:w="1931" w:type="dxa"/>
                  <w:vMerge w:val="continue"/>
                  <w:vAlign w:val="center"/>
                </w:tcPr>
                <w:p>
                  <w:pPr>
                    <w:spacing w:line="360" w:lineRule="auto"/>
                    <w:jc w:val="center"/>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37" w:type="dxa"/>
                  <w:vAlign w:val="center"/>
                </w:tcPr>
                <w:p>
                  <w:pPr>
                    <w:spacing w:line="360" w:lineRule="auto"/>
                    <w:jc w:val="center"/>
                    <w:rPr>
                      <w:szCs w:val="21"/>
                    </w:rPr>
                  </w:pPr>
                  <w:r>
                    <w:rPr>
                      <w:rFonts w:hint="eastAsia"/>
                      <w:szCs w:val="21"/>
                    </w:rPr>
                    <w:t>BOD</w:t>
                  </w:r>
                  <w:r>
                    <w:rPr>
                      <w:rFonts w:hint="eastAsia"/>
                      <w:szCs w:val="21"/>
                      <w:vertAlign w:val="subscript"/>
                    </w:rPr>
                    <w:t>5</w:t>
                  </w:r>
                  <w:r>
                    <w:rPr>
                      <w:rFonts w:hint="eastAsia"/>
                      <w:szCs w:val="21"/>
                    </w:rPr>
                    <w:t>≤</w:t>
                  </w:r>
                </w:p>
              </w:tc>
              <w:tc>
                <w:tcPr>
                  <w:tcW w:w="1623" w:type="dxa"/>
                  <w:vAlign w:val="center"/>
                </w:tcPr>
                <w:p>
                  <w:pPr>
                    <w:spacing w:line="360" w:lineRule="auto"/>
                    <w:jc w:val="center"/>
                    <w:rPr>
                      <w:szCs w:val="21"/>
                    </w:rPr>
                  </w:pPr>
                  <w:r>
                    <w:rPr>
                      <w:rFonts w:hint="eastAsia"/>
                      <w:szCs w:val="21"/>
                    </w:rPr>
                    <w:t>4</w:t>
                  </w:r>
                </w:p>
              </w:tc>
              <w:tc>
                <w:tcPr>
                  <w:tcW w:w="1931" w:type="dxa"/>
                  <w:vMerge w:val="continue"/>
                  <w:vAlign w:val="center"/>
                </w:tcPr>
                <w:p>
                  <w:pPr>
                    <w:spacing w:line="360" w:lineRule="auto"/>
                    <w:jc w:val="center"/>
                    <w:rPr>
                      <w:szCs w:val="21"/>
                    </w:rPr>
                  </w:pPr>
                </w:p>
              </w:tc>
              <w:tc>
                <w:tcPr>
                  <w:tcW w:w="1931" w:type="dxa"/>
                  <w:vMerge w:val="continue"/>
                  <w:vAlign w:val="center"/>
                </w:tcPr>
                <w:p>
                  <w:pPr>
                    <w:spacing w:line="360" w:lineRule="auto"/>
                    <w:jc w:val="center"/>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37" w:type="dxa"/>
                  <w:vAlign w:val="center"/>
                </w:tcPr>
                <w:p>
                  <w:pPr>
                    <w:spacing w:line="360" w:lineRule="auto"/>
                    <w:jc w:val="center"/>
                    <w:rPr>
                      <w:szCs w:val="21"/>
                    </w:rPr>
                  </w:pPr>
                  <w:r>
                    <w:rPr>
                      <w:rFonts w:hint="eastAsia"/>
                      <w:szCs w:val="21"/>
                    </w:rPr>
                    <w:t>高锰酸盐指数≤</w:t>
                  </w:r>
                </w:p>
              </w:tc>
              <w:tc>
                <w:tcPr>
                  <w:tcW w:w="1623" w:type="dxa"/>
                  <w:vAlign w:val="center"/>
                </w:tcPr>
                <w:p>
                  <w:pPr>
                    <w:spacing w:line="360" w:lineRule="auto"/>
                    <w:jc w:val="center"/>
                    <w:rPr>
                      <w:szCs w:val="21"/>
                    </w:rPr>
                  </w:pPr>
                  <w:r>
                    <w:rPr>
                      <w:rFonts w:hint="eastAsia"/>
                      <w:szCs w:val="21"/>
                    </w:rPr>
                    <w:t>6</w:t>
                  </w:r>
                </w:p>
              </w:tc>
              <w:tc>
                <w:tcPr>
                  <w:tcW w:w="1931" w:type="dxa"/>
                  <w:vMerge w:val="continue"/>
                  <w:vAlign w:val="center"/>
                </w:tcPr>
                <w:p>
                  <w:pPr>
                    <w:spacing w:line="360" w:lineRule="auto"/>
                    <w:jc w:val="center"/>
                    <w:rPr>
                      <w:szCs w:val="21"/>
                    </w:rPr>
                  </w:pPr>
                </w:p>
              </w:tc>
              <w:tc>
                <w:tcPr>
                  <w:tcW w:w="1931" w:type="dxa"/>
                  <w:vMerge w:val="continue"/>
                  <w:vAlign w:val="center"/>
                </w:tcPr>
                <w:p>
                  <w:pPr>
                    <w:spacing w:line="360" w:lineRule="auto"/>
                    <w:jc w:val="center"/>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37" w:type="dxa"/>
                  <w:vAlign w:val="center"/>
                </w:tcPr>
                <w:p>
                  <w:pPr>
                    <w:spacing w:line="360" w:lineRule="auto"/>
                    <w:jc w:val="center"/>
                    <w:rPr>
                      <w:szCs w:val="21"/>
                    </w:rPr>
                  </w:pPr>
                  <w:r>
                    <w:rPr>
                      <w:rFonts w:hint="eastAsia"/>
                      <w:szCs w:val="21"/>
                    </w:rPr>
                    <w:t>NH</w:t>
                  </w:r>
                  <w:r>
                    <w:rPr>
                      <w:rFonts w:hint="eastAsia"/>
                      <w:szCs w:val="21"/>
                      <w:vertAlign w:val="subscript"/>
                    </w:rPr>
                    <w:t>3</w:t>
                  </w:r>
                  <w:r>
                    <w:rPr>
                      <w:rFonts w:hint="eastAsia"/>
                      <w:szCs w:val="21"/>
                    </w:rPr>
                    <w:t>-N≤</w:t>
                  </w:r>
                </w:p>
              </w:tc>
              <w:tc>
                <w:tcPr>
                  <w:tcW w:w="1623" w:type="dxa"/>
                  <w:vAlign w:val="center"/>
                </w:tcPr>
                <w:p>
                  <w:pPr>
                    <w:spacing w:line="360" w:lineRule="auto"/>
                    <w:jc w:val="center"/>
                    <w:rPr>
                      <w:szCs w:val="21"/>
                    </w:rPr>
                  </w:pPr>
                  <w:r>
                    <w:rPr>
                      <w:rFonts w:hint="eastAsia"/>
                      <w:szCs w:val="21"/>
                    </w:rPr>
                    <w:t>1</w:t>
                  </w:r>
                  <w:r>
                    <w:rPr>
                      <w:szCs w:val="21"/>
                    </w:rPr>
                    <w:t>.0</w:t>
                  </w:r>
                </w:p>
              </w:tc>
              <w:tc>
                <w:tcPr>
                  <w:tcW w:w="1931" w:type="dxa"/>
                  <w:vMerge w:val="continue"/>
                  <w:vAlign w:val="center"/>
                </w:tcPr>
                <w:p>
                  <w:pPr>
                    <w:spacing w:line="360" w:lineRule="auto"/>
                    <w:jc w:val="center"/>
                    <w:rPr>
                      <w:szCs w:val="21"/>
                    </w:rPr>
                  </w:pPr>
                </w:p>
              </w:tc>
              <w:tc>
                <w:tcPr>
                  <w:tcW w:w="1931" w:type="dxa"/>
                  <w:vMerge w:val="continue"/>
                  <w:vAlign w:val="center"/>
                </w:tcPr>
                <w:p>
                  <w:pPr>
                    <w:spacing w:line="360" w:lineRule="auto"/>
                    <w:jc w:val="center"/>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37" w:type="dxa"/>
                  <w:vAlign w:val="center"/>
                </w:tcPr>
                <w:p>
                  <w:pPr>
                    <w:spacing w:line="360" w:lineRule="auto"/>
                    <w:jc w:val="center"/>
                    <w:rPr>
                      <w:szCs w:val="21"/>
                    </w:rPr>
                  </w:pPr>
                  <w:r>
                    <w:rPr>
                      <w:rFonts w:hint="eastAsia"/>
                      <w:szCs w:val="21"/>
                    </w:rPr>
                    <w:t>挥发酚≤</w:t>
                  </w:r>
                </w:p>
              </w:tc>
              <w:tc>
                <w:tcPr>
                  <w:tcW w:w="1623" w:type="dxa"/>
                  <w:vAlign w:val="center"/>
                </w:tcPr>
                <w:p>
                  <w:pPr>
                    <w:spacing w:line="360" w:lineRule="auto"/>
                    <w:jc w:val="center"/>
                    <w:rPr>
                      <w:szCs w:val="21"/>
                    </w:rPr>
                  </w:pPr>
                  <w:r>
                    <w:rPr>
                      <w:rFonts w:hint="eastAsia"/>
                      <w:szCs w:val="21"/>
                    </w:rPr>
                    <w:t>0</w:t>
                  </w:r>
                  <w:r>
                    <w:rPr>
                      <w:szCs w:val="21"/>
                    </w:rPr>
                    <w:t>.005</w:t>
                  </w:r>
                </w:p>
              </w:tc>
              <w:tc>
                <w:tcPr>
                  <w:tcW w:w="1931" w:type="dxa"/>
                  <w:vMerge w:val="continue"/>
                  <w:vAlign w:val="center"/>
                </w:tcPr>
                <w:p>
                  <w:pPr>
                    <w:spacing w:line="360" w:lineRule="auto"/>
                    <w:jc w:val="center"/>
                    <w:rPr>
                      <w:szCs w:val="21"/>
                    </w:rPr>
                  </w:pPr>
                </w:p>
              </w:tc>
              <w:tc>
                <w:tcPr>
                  <w:tcW w:w="1931" w:type="dxa"/>
                  <w:vMerge w:val="continue"/>
                  <w:vAlign w:val="center"/>
                </w:tcPr>
                <w:p>
                  <w:pPr>
                    <w:spacing w:line="360" w:lineRule="auto"/>
                    <w:jc w:val="center"/>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37" w:type="dxa"/>
                  <w:vAlign w:val="center"/>
                </w:tcPr>
                <w:p>
                  <w:pPr>
                    <w:spacing w:line="360" w:lineRule="auto"/>
                    <w:jc w:val="center"/>
                    <w:rPr>
                      <w:szCs w:val="21"/>
                    </w:rPr>
                  </w:pPr>
                  <w:r>
                    <w:rPr>
                      <w:rFonts w:hint="eastAsia"/>
                      <w:szCs w:val="21"/>
                    </w:rPr>
                    <w:t>石油类≤</w:t>
                  </w:r>
                </w:p>
              </w:tc>
              <w:tc>
                <w:tcPr>
                  <w:tcW w:w="1623" w:type="dxa"/>
                  <w:vAlign w:val="center"/>
                </w:tcPr>
                <w:p>
                  <w:pPr>
                    <w:spacing w:line="360" w:lineRule="auto"/>
                    <w:jc w:val="center"/>
                    <w:rPr>
                      <w:szCs w:val="21"/>
                    </w:rPr>
                  </w:pPr>
                  <w:r>
                    <w:rPr>
                      <w:rFonts w:hint="eastAsia"/>
                      <w:szCs w:val="21"/>
                    </w:rPr>
                    <w:t>0</w:t>
                  </w:r>
                  <w:r>
                    <w:rPr>
                      <w:szCs w:val="21"/>
                    </w:rPr>
                    <w:t>.05</w:t>
                  </w:r>
                </w:p>
              </w:tc>
              <w:tc>
                <w:tcPr>
                  <w:tcW w:w="1931" w:type="dxa"/>
                  <w:vMerge w:val="continue"/>
                  <w:vAlign w:val="center"/>
                </w:tcPr>
                <w:p>
                  <w:pPr>
                    <w:spacing w:line="360" w:lineRule="auto"/>
                    <w:jc w:val="center"/>
                    <w:rPr>
                      <w:szCs w:val="21"/>
                    </w:rPr>
                  </w:pPr>
                </w:p>
              </w:tc>
              <w:tc>
                <w:tcPr>
                  <w:tcW w:w="1931" w:type="dxa"/>
                  <w:vMerge w:val="continue"/>
                  <w:vAlign w:val="center"/>
                </w:tcPr>
                <w:p>
                  <w:pPr>
                    <w:spacing w:line="360" w:lineRule="auto"/>
                    <w:jc w:val="center"/>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37" w:type="dxa"/>
                  <w:vAlign w:val="center"/>
                </w:tcPr>
                <w:p>
                  <w:pPr>
                    <w:spacing w:line="360" w:lineRule="auto"/>
                    <w:jc w:val="center"/>
                    <w:rPr>
                      <w:szCs w:val="21"/>
                    </w:rPr>
                  </w:pPr>
                  <w:r>
                    <w:rPr>
                      <w:rFonts w:hint="eastAsia"/>
                      <w:szCs w:val="21"/>
                    </w:rPr>
                    <w:t>阴离子表面活性剂≤</w:t>
                  </w:r>
                </w:p>
              </w:tc>
              <w:tc>
                <w:tcPr>
                  <w:tcW w:w="1623" w:type="dxa"/>
                  <w:vAlign w:val="center"/>
                </w:tcPr>
                <w:p>
                  <w:pPr>
                    <w:spacing w:line="360" w:lineRule="auto"/>
                    <w:jc w:val="center"/>
                    <w:rPr>
                      <w:szCs w:val="21"/>
                    </w:rPr>
                  </w:pPr>
                  <w:r>
                    <w:rPr>
                      <w:rFonts w:hint="eastAsia"/>
                      <w:szCs w:val="21"/>
                    </w:rPr>
                    <w:t>0</w:t>
                  </w:r>
                  <w:r>
                    <w:rPr>
                      <w:szCs w:val="21"/>
                    </w:rPr>
                    <w:t>.2</w:t>
                  </w:r>
                </w:p>
              </w:tc>
              <w:tc>
                <w:tcPr>
                  <w:tcW w:w="1931" w:type="dxa"/>
                  <w:vMerge w:val="continue"/>
                  <w:vAlign w:val="center"/>
                </w:tcPr>
                <w:p>
                  <w:pPr>
                    <w:spacing w:line="360" w:lineRule="auto"/>
                    <w:jc w:val="center"/>
                    <w:rPr>
                      <w:szCs w:val="21"/>
                    </w:rPr>
                  </w:pPr>
                </w:p>
              </w:tc>
              <w:tc>
                <w:tcPr>
                  <w:tcW w:w="1931" w:type="dxa"/>
                  <w:vMerge w:val="continue"/>
                  <w:vAlign w:val="center"/>
                </w:tcPr>
                <w:p>
                  <w:pPr>
                    <w:spacing w:line="360" w:lineRule="auto"/>
                    <w:jc w:val="center"/>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2237" w:type="dxa"/>
                  <w:vAlign w:val="center"/>
                </w:tcPr>
                <w:p>
                  <w:pPr>
                    <w:spacing w:line="360" w:lineRule="auto"/>
                    <w:jc w:val="center"/>
                    <w:rPr>
                      <w:szCs w:val="21"/>
                    </w:rPr>
                  </w:pPr>
                  <w:r>
                    <w:rPr>
                      <w:rFonts w:hint="eastAsia"/>
                      <w:szCs w:val="21"/>
                    </w:rPr>
                    <w:t>硫化物≤</w:t>
                  </w:r>
                </w:p>
              </w:tc>
              <w:tc>
                <w:tcPr>
                  <w:tcW w:w="1623" w:type="dxa"/>
                  <w:vAlign w:val="center"/>
                </w:tcPr>
                <w:p>
                  <w:pPr>
                    <w:spacing w:line="360" w:lineRule="auto"/>
                    <w:jc w:val="center"/>
                    <w:rPr>
                      <w:szCs w:val="21"/>
                    </w:rPr>
                  </w:pPr>
                  <w:r>
                    <w:rPr>
                      <w:rFonts w:hint="eastAsia"/>
                      <w:szCs w:val="21"/>
                    </w:rPr>
                    <w:t>0</w:t>
                  </w:r>
                  <w:r>
                    <w:rPr>
                      <w:szCs w:val="21"/>
                    </w:rPr>
                    <w:t>.2</w:t>
                  </w:r>
                </w:p>
              </w:tc>
              <w:tc>
                <w:tcPr>
                  <w:tcW w:w="1931" w:type="dxa"/>
                  <w:vMerge w:val="continue"/>
                  <w:vAlign w:val="center"/>
                </w:tcPr>
                <w:p>
                  <w:pPr>
                    <w:spacing w:line="360" w:lineRule="auto"/>
                    <w:jc w:val="center"/>
                    <w:rPr>
                      <w:szCs w:val="21"/>
                    </w:rPr>
                  </w:pPr>
                </w:p>
              </w:tc>
              <w:tc>
                <w:tcPr>
                  <w:tcW w:w="1931" w:type="dxa"/>
                  <w:vMerge w:val="continue"/>
                  <w:vAlign w:val="center"/>
                </w:tcPr>
                <w:p>
                  <w:pPr>
                    <w:spacing w:line="360" w:lineRule="auto"/>
                    <w:jc w:val="center"/>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37" w:type="dxa"/>
                  <w:vAlign w:val="center"/>
                </w:tcPr>
                <w:p>
                  <w:pPr>
                    <w:spacing w:line="360" w:lineRule="auto"/>
                    <w:jc w:val="center"/>
                    <w:rPr>
                      <w:szCs w:val="21"/>
                    </w:rPr>
                  </w:pPr>
                  <w:r>
                    <w:rPr>
                      <w:rFonts w:hint="eastAsia"/>
                      <w:szCs w:val="21"/>
                    </w:rPr>
                    <w:t>粪大肠菌群≤</w:t>
                  </w:r>
                </w:p>
              </w:tc>
              <w:tc>
                <w:tcPr>
                  <w:tcW w:w="1623" w:type="dxa"/>
                  <w:vAlign w:val="center"/>
                </w:tcPr>
                <w:p>
                  <w:pPr>
                    <w:spacing w:line="360" w:lineRule="auto"/>
                    <w:jc w:val="center"/>
                    <w:rPr>
                      <w:szCs w:val="21"/>
                    </w:rPr>
                  </w:pPr>
                  <w:r>
                    <w:rPr>
                      <w:rFonts w:hint="eastAsia"/>
                      <w:szCs w:val="21"/>
                    </w:rPr>
                    <w:t>1</w:t>
                  </w:r>
                  <w:r>
                    <w:rPr>
                      <w:szCs w:val="21"/>
                    </w:rPr>
                    <w:t>0000</w:t>
                  </w:r>
                </w:p>
              </w:tc>
              <w:tc>
                <w:tcPr>
                  <w:tcW w:w="1931" w:type="dxa"/>
                  <w:vAlign w:val="center"/>
                </w:tcPr>
                <w:p>
                  <w:pPr>
                    <w:spacing w:line="360" w:lineRule="auto"/>
                    <w:jc w:val="center"/>
                    <w:rPr>
                      <w:szCs w:val="21"/>
                    </w:rPr>
                  </w:pPr>
                  <w:r>
                    <w:rPr>
                      <w:rFonts w:hint="eastAsia"/>
                      <w:szCs w:val="21"/>
                    </w:rPr>
                    <w:t>个/L</w:t>
                  </w:r>
                </w:p>
              </w:tc>
              <w:tc>
                <w:tcPr>
                  <w:tcW w:w="1931" w:type="dxa"/>
                  <w:vMerge w:val="continue"/>
                  <w:vAlign w:val="center"/>
                </w:tcPr>
                <w:p>
                  <w:pPr>
                    <w:spacing w:line="360" w:lineRule="auto"/>
                    <w:jc w:val="center"/>
                    <w:rPr>
                      <w:szCs w:val="21"/>
                    </w:rPr>
                  </w:pPr>
                </w:p>
              </w:tc>
            </w:tr>
          </w:tbl>
          <w:p>
            <w:pPr>
              <w:spacing w:line="360" w:lineRule="auto"/>
              <w:ind w:firstLine="480" w:firstLineChars="200"/>
              <w:rPr>
                <w:sz w:val="24"/>
                <w:szCs w:val="24"/>
              </w:rPr>
            </w:pPr>
            <w:r>
              <w:rPr>
                <w:sz w:val="24"/>
                <w:szCs w:val="24"/>
              </w:rPr>
              <w:t>地下水执行《地下水质量标准》（GB/T14848-2017）中的Ⅲ类标准</w:t>
            </w:r>
            <w:r>
              <w:rPr>
                <w:rFonts w:hint="eastAsia"/>
                <w:sz w:val="24"/>
                <w:szCs w:val="24"/>
              </w:rPr>
              <w:t>，见表</w:t>
            </w:r>
            <w:r>
              <w:rPr>
                <w:sz w:val="24"/>
                <w:szCs w:val="24"/>
              </w:rPr>
              <w:t>19</w:t>
            </w:r>
            <w:r>
              <w:rPr>
                <w:rFonts w:hint="eastAsia"/>
                <w:sz w:val="24"/>
                <w:szCs w:val="24"/>
              </w:rPr>
              <w:t>。</w:t>
            </w:r>
          </w:p>
          <w:p>
            <w:pPr>
              <w:spacing w:line="360" w:lineRule="auto"/>
              <w:jc w:val="center"/>
              <w:rPr>
                <w:spacing w:val="9"/>
                <w:sz w:val="24"/>
                <w:szCs w:val="24"/>
              </w:rPr>
            </w:pPr>
            <w:r>
              <w:rPr>
                <w:rFonts w:hint="eastAsia"/>
                <w:spacing w:val="9"/>
                <w:sz w:val="24"/>
                <w:szCs w:val="24"/>
              </w:rPr>
              <w:t>表</w:t>
            </w:r>
            <w:r>
              <w:rPr>
                <w:spacing w:val="9"/>
                <w:sz w:val="24"/>
                <w:szCs w:val="24"/>
              </w:rPr>
              <w:t xml:space="preserve">19 </w:t>
            </w:r>
            <w:r>
              <w:rPr>
                <w:rFonts w:hint="eastAsia"/>
                <w:spacing w:val="9"/>
                <w:sz w:val="24"/>
                <w:szCs w:val="24"/>
              </w:rPr>
              <w:t>地下水质量标准</w:t>
            </w:r>
          </w:p>
          <w:tbl>
            <w:tblPr>
              <w:tblStyle w:val="28"/>
              <w:tblW w:w="7722"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34"/>
              <w:gridCol w:w="1226"/>
              <w:gridCol w:w="1931"/>
              <w:gridCol w:w="193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34" w:type="dxa"/>
                  <w:vAlign w:val="center"/>
                </w:tcPr>
                <w:p>
                  <w:pPr>
                    <w:spacing w:line="360" w:lineRule="auto"/>
                    <w:jc w:val="center"/>
                    <w:rPr>
                      <w:szCs w:val="21"/>
                    </w:rPr>
                  </w:pPr>
                  <w:r>
                    <w:rPr>
                      <w:rFonts w:hint="eastAsia"/>
                      <w:szCs w:val="21"/>
                    </w:rPr>
                    <w:t>因子</w:t>
                  </w:r>
                </w:p>
              </w:tc>
              <w:tc>
                <w:tcPr>
                  <w:tcW w:w="1226" w:type="dxa"/>
                  <w:vAlign w:val="center"/>
                </w:tcPr>
                <w:p>
                  <w:pPr>
                    <w:spacing w:line="360" w:lineRule="auto"/>
                    <w:jc w:val="center"/>
                    <w:rPr>
                      <w:szCs w:val="21"/>
                    </w:rPr>
                  </w:pPr>
                  <w:r>
                    <w:rPr>
                      <w:rFonts w:hint="eastAsia"/>
                      <w:szCs w:val="21"/>
                    </w:rPr>
                    <w:t>标准值</w:t>
                  </w:r>
                </w:p>
              </w:tc>
              <w:tc>
                <w:tcPr>
                  <w:tcW w:w="1931" w:type="dxa"/>
                  <w:vAlign w:val="center"/>
                </w:tcPr>
                <w:p>
                  <w:pPr>
                    <w:spacing w:line="360" w:lineRule="auto"/>
                    <w:jc w:val="center"/>
                    <w:rPr>
                      <w:szCs w:val="21"/>
                    </w:rPr>
                  </w:pPr>
                  <w:r>
                    <w:rPr>
                      <w:rFonts w:hint="eastAsia"/>
                      <w:szCs w:val="21"/>
                    </w:rPr>
                    <w:t>单位</w:t>
                  </w:r>
                </w:p>
              </w:tc>
              <w:tc>
                <w:tcPr>
                  <w:tcW w:w="1931" w:type="dxa"/>
                  <w:vAlign w:val="center"/>
                </w:tcPr>
                <w:p>
                  <w:pPr>
                    <w:spacing w:line="360" w:lineRule="auto"/>
                    <w:jc w:val="center"/>
                    <w:rPr>
                      <w:szCs w:val="21"/>
                    </w:rPr>
                  </w:pPr>
                  <w:r>
                    <w:rPr>
                      <w:rFonts w:hint="eastAsia"/>
                      <w:szCs w:val="21"/>
                    </w:rPr>
                    <w:t>标准来源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34" w:type="dxa"/>
                  <w:vAlign w:val="center"/>
                </w:tcPr>
                <w:p>
                  <w:pPr>
                    <w:spacing w:line="360" w:lineRule="auto"/>
                    <w:jc w:val="center"/>
                    <w:rPr>
                      <w:szCs w:val="21"/>
                    </w:rPr>
                  </w:pPr>
                  <w:r>
                    <w:rPr>
                      <w:szCs w:val="21"/>
                    </w:rPr>
                    <w:t>pH</w:t>
                  </w:r>
                </w:p>
              </w:tc>
              <w:tc>
                <w:tcPr>
                  <w:tcW w:w="1226" w:type="dxa"/>
                  <w:vAlign w:val="center"/>
                </w:tcPr>
                <w:p>
                  <w:pPr>
                    <w:spacing w:line="360" w:lineRule="auto"/>
                    <w:jc w:val="center"/>
                    <w:rPr>
                      <w:szCs w:val="21"/>
                    </w:rPr>
                  </w:pPr>
                  <w:r>
                    <w:rPr>
                      <w:szCs w:val="21"/>
                    </w:rPr>
                    <w:t>6.5~8.5</w:t>
                  </w:r>
                </w:p>
              </w:tc>
              <w:tc>
                <w:tcPr>
                  <w:tcW w:w="1931" w:type="dxa"/>
                  <w:vAlign w:val="center"/>
                </w:tcPr>
                <w:p>
                  <w:pPr>
                    <w:spacing w:line="360" w:lineRule="auto"/>
                    <w:jc w:val="center"/>
                    <w:rPr>
                      <w:szCs w:val="21"/>
                    </w:rPr>
                  </w:pPr>
                  <w:r>
                    <w:rPr>
                      <w:rFonts w:hint="eastAsia"/>
                      <w:szCs w:val="21"/>
                    </w:rPr>
                    <w:t>无量纲</w:t>
                  </w:r>
                </w:p>
              </w:tc>
              <w:tc>
                <w:tcPr>
                  <w:tcW w:w="1931" w:type="dxa"/>
                  <w:vMerge w:val="restart"/>
                  <w:vAlign w:val="center"/>
                </w:tcPr>
                <w:p>
                  <w:pPr>
                    <w:spacing w:line="360" w:lineRule="auto"/>
                    <w:jc w:val="center"/>
                    <w:rPr>
                      <w:szCs w:val="21"/>
                    </w:rPr>
                  </w:pPr>
                  <w:r>
                    <w:rPr>
                      <w:szCs w:val="21"/>
                    </w:rPr>
                    <w:t>《地</w:t>
                  </w:r>
                  <w:r>
                    <w:rPr>
                      <w:rFonts w:hint="eastAsia"/>
                      <w:szCs w:val="21"/>
                    </w:rPr>
                    <w:t>下</w:t>
                  </w:r>
                  <w:r>
                    <w:rPr>
                      <w:szCs w:val="21"/>
                    </w:rPr>
                    <w:t>水质量标准》</w:t>
                  </w:r>
                </w:p>
                <w:p>
                  <w:pPr>
                    <w:spacing w:line="360" w:lineRule="auto"/>
                    <w:jc w:val="center"/>
                    <w:rPr>
                      <w:szCs w:val="21"/>
                    </w:rPr>
                  </w:pPr>
                  <w:r>
                    <w:rPr>
                      <w:szCs w:val="21"/>
                    </w:rPr>
                    <w:t>（GB3838-2002）III类标准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34" w:type="dxa"/>
                  <w:vAlign w:val="center"/>
                </w:tcPr>
                <w:p>
                  <w:pPr>
                    <w:spacing w:line="360" w:lineRule="auto"/>
                    <w:jc w:val="center"/>
                    <w:rPr>
                      <w:szCs w:val="21"/>
                    </w:rPr>
                  </w:pPr>
                  <w:r>
                    <w:rPr>
                      <w:rFonts w:hint="eastAsia"/>
                      <w:szCs w:val="21"/>
                    </w:rPr>
                    <w:t>总硬度</w:t>
                  </w:r>
                </w:p>
              </w:tc>
              <w:tc>
                <w:tcPr>
                  <w:tcW w:w="1226" w:type="dxa"/>
                  <w:vAlign w:val="center"/>
                </w:tcPr>
                <w:p>
                  <w:pPr>
                    <w:spacing w:line="360" w:lineRule="auto"/>
                    <w:jc w:val="center"/>
                    <w:rPr>
                      <w:szCs w:val="21"/>
                    </w:rPr>
                  </w:pPr>
                  <w:r>
                    <w:rPr>
                      <w:szCs w:val="21"/>
                    </w:rPr>
                    <w:t>≤450</w:t>
                  </w:r>
                </w:p>
              </w:tc>
              <w:tc>
                <w:tcPr>
                  <w:tcW w:w="1931" w:type="dxa"/>
                  <w:vMerge w:val="restart"/>
                  <w:vAlign w:val="center"/>
                </w:tcPr>
                <w:p>
                  <w:pPr>
                    <w:spacing w:line="360" w:lineRule="auto"/>
                    <w:jc w:val="center"/>
                    <w:rPr>
                      <w:szCs w:val="21"/>
                    </w:rPr>
                  </w:pPr>
                  <w:r>
                    <w:rPr>
                      <w:rFonts w:hint="eastAsia"/>
                      <w:szCs w:val="21"/>
                    </w:rPr>
                    <w:t>mg</w:t>
                  </w:r>
                  <w:r>
                    <w:rPr>
                      <w:szCs w:val="21"/>
                    </w:rPr>
                    <w:t>/</w:t>
                  </w:r>
                  <w:r>
                    <w:rPr>
                      <w:rFonts w:hint="eastAsia"/>
                      <w:szCs w:val="21"/>
                    </w:rPr>
                    <w:t>L</w:t>
                  </w:r>
                </w:p>
              </w:tc>
              <w:tc>
                <w:tcPr>
                  <w:tcW w:w="1931" w:type="dxa"/>
                  <w:vMerge w:val="continue"/>
                  <w:vAlign w:val="center"/>
                </w:tcPr>
                <w:p>
                  <w:pPr>
                    <w:spacing w:line="360" w:lineRule="auto"/>
                    <w:jc w:val="center"/>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34" w:type="dxa"/>
                  <w:vAlign w:val="center"/>
                </w:tcPr>
                <w:p>
                  <w:pPr>
                    <w:spacing w:line="360" w:lineRule="auto"/>
                    <w:jc w:val="center"/>
                    <w:rPr>
                      <w:szCs w:val="21"/>
                    </w:rPr>
                  </w:pPr>
                  <w:r>
                    <w:rPr>
                      <w:rFonts w:hint="eastAsia"/>
                      <w:szCs w:val="21"/>
                    </w:rPr>
                    <w:t>耗氧量</w:t>
                  </w:r>
                </w:p>
                <w:p>
                  <w:pPr>
                    <w:spacing w:line="360" w:lineRule="auto"/>
                    <w:jc w:val="center"/>
                    <w:rPr>
                      <w:szCs w:val="21"/>
                    </w:rPr>
                  </w:pPr>
                  <w:r>
                    <w:rPr>
                      <w:rFonts w:hint="eastAsia"/>
                      <w:szCs w:val="21"/>
                    </w:rPr>
                    <w:t>（COD</w:t>
                  </w:r>
                  <w:r>
                    <w:rPr>
                      <w:rFonts w:hint="eastAsia"/>
                      <w:szCs w:val="21"/>
                      <w:vertAlign w:val="subscript"/>
                    </w:rPr>
                    <w:t>Mn</w:t>
                  </w:r>
                  <w:r>
                    <w:rPr>
                      <w:rFonts w:hint="eastAsia"/>
                      <w:szCs w:val="21"/>
                    </w:rPr>
                    <w:t>法，以O</w:t>
                  </w:r>
                  <w:r>
                    <w:rPr>
                      <w:rFonts w:hint="eastAsia"/>
                      <w:szCs w:val="21"/>
                      <w:vertAlign w:val="subscript"/>
                    </w:rPr>
                    <w:t>2</w:t>
                  </w:r>
                  <w:r>
                    <w:rPr>
                      <w:rFonts w:hint="eastAsia"/>
                      <w:szCs w:val="21"/>
                    </w:rPr>
                    <w:t>计）</w:t>
                  </w:r>
                </w:p>
              </w:tc>
              <w:tc>
                <w:tcPr>
                  <w:tcW w:w="1226" w:type="dxa"/>
                  <w:vAlign w:val="center"/>
                </w:tcPr>
                <w:p>
                  <w:pPr>
                    <w:spacing w:line="360" w:lineRule="auto"/>
                    <w:jc w:val="center"/>
                    <w:rPr>
                      <w:szCs w:val="21"/>
                    </w:rPr>
                  </w:pPr>
                  <w:r>
                    <w:rPr>
                      <w:szCs w:val="21"/>
                    </w:rPr>
                    <w:t>≤3.0</w:t>
                  </w:r>
                </w:p>
              </w:tc>
              <w:tc>
                <w:tcPr>
                  <w:tcW w:w="1931" w:type="dxa"/>
                  <w:vMerge w:val="continue"/>
                  <w:vAlign w:val="center"/>
                </w:tcPr>
                <w:p>
                  <w:pPr>
                    <w:spacing w:line="360" w:lineRule="auto"/>
                    <w:jc w:val="center"/>
                    <w:rPr>
                      <w:szCs w:val="21"/>
                    </w:rPr>
                  </w:pPr>
                </w:p>
              </w:tc>
              <w:tc>
                <w:tcPr>
                  <w:tcW w:w="1931" w:type="dxa"/>
                  <w:vMerge w:val="continue"/>
                  <w:vAlign w:val="center"/>
                </w:tcPr>
                <w:p>
                  <w:pPr>
                    <w:spacing w:line="360" w:lineRule="auto"/>
                    <w:jc w:val="center"/>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34" w:type="dxa"/>
                  <w:vAlign w:val="center"/>
                </w:tcPr>
                <w:p>
                  <w:pPr>
                    <w:spacing w:line="360" w:lineRule="auto"/>
                    <w:jc w:val="center"/>
                    <w:rPr>
                      <w:szCs w:val="21"/>
                    </w:rPr>
                  </w:pPr>
                  <w:r>
                    <w:rPr>
                      <w:rFonts w:hint="eastAsia"/>
                      <w:szCs w:val="21"/>
                    </w:rPr>
                    <w:t>溶解性总固体</w:t>
                  </w:r>
                </w:p>
              </w:tc>
              <w:tc>
                <w:tcPr>
                  <w:tcW w:w="1226" w:type="dxa"/>
                  <w:vAlign w:val="center"/>
                </w:tcPr>
                <w:p>
                  <w:pPr>
                    <w:spacing w:line="360" w:lineRule="auto"/>
                    <w:jc w:val="center"/>
                    <w:rPr>
                      <w:szCs w:val="21"/>
                    </w:rPr>
                  </w:pPr>
                  <w:r>
                    <w:rPr>
                      <w:szCs w:val="21"/>
                    </w:rPr>
                    <w:t>≤1000</w:t>
                  </w:r>
                </w:p>
              </w:tc>
              <w:tc>
                <w:tcPr>
                  <w:tcW w:w="1931" w:type="dxa"/>
                  <w:vMerge w:val="continue"/>
                  <w:vAlign w:val="center"/>
                </w:tcPr>
                <w:p>
                  <w:pPr>
                    <w:spacing w:line="360" w:lineRule="auto"/>
                    <w:jc w:val="center"/>
                    <w:rPr>
                      <w:szCs w:val="21"/>
                    </w:rPr>
                  </w:pPr>
                </w:p>
              </w:tc>
              <w:tc>
                <w:tcPr>
                  <w:tcW w:w="1931" w:type="dxa"/>
                  <w:vMerge w:val="continue"/>
                  <w:vAlign w:val="center"/>
                </w:tcPr>
                <w:p>
                  <w:pPr>
                    <w:spacing w:line="360" w:lineRule="auto"/>
                    <w:jc w:val="center"/>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34" w:type="dxa"/>
                  <w:vAlign w:val="center"/>
                </w:tcPr>
                <w:p>
                  <w:pPr>
                    <w:spacing w:line="360" w:lineRule="auto"/>
                    <w:jc w:val="center"/>
                    <w:rPr>
                      <w:szCs w:val="21"/>
                    </w:rPr>
                  </w:pPr>
                  <w:r>
                    <w:rPr>
                      <w:rFonts w:hint="eastAsia"/>
                      <w:szCs w:val="21"/>
                    </w:rPr>
                    <w:t>NH</w:t>
                  </w:r>
                  <w:r>
                    <w:rPr>
                      <w:rFonts w:hint="eastAsia"/>
                      <w:szCs w:val="21"/>
                      <w:vertAlign w:val="subscript"/>
                    </w:rPr>
                    <w:t>3</w:t>
                  </w:r>
                  <w:r>
                    <w:rPr>
                      <w:szCs w:val="21"/>
                    </w:rPr>
                    <w:t>-</w:t>
                  </w:r>
                  <w:r>
                    <w:rPr>
                      <w:rFonts w:hint="eastAsia"/>
                      <w:szCs w:val="21"/>
                    </w:rPr>
                    <w:t>N</w:t>
                  </w:r>
                </w:p>
              </w:tc>
              <w:tc>
                <w:tcPr>
                  <w:tcW w:w="1226" w:type="dxa"/>
                  <w:vAlign w:val="center"/>
                </w:tcPr>
                <w:p>
                  <w:pPr>
                    <w:spacing w:line="360" w:lineRule="auto"/>
                    <w:jc w:val="center"/>
                    <w:rPr>
                      <w:szCs w:val="21"/>
                    </w:rPr>
                  </w:pPr>
                  <w:r>
                    <w:rPr>
                      <w:szCs w:val="21"/>
                    </w:rPr>
                    <w:t>≤0.5</w:t>
                  </w:r>
                </w:p>
              </w:tc>
              <w:tc>
                <w:tcPr>
                  <w:tcW w:w="1931" w:type="dxa"/>
                  <w:vMerge w:val="continue"/>
                  <w:vAlign w:val="center"/>
                </w:tcPr>
                <w:p>
                  <w:pPr>
                    <w:spacing w:line="360" w:lineRule="auto"/>
                    <w:jc w:val="center"/>
                    <w:rPr>
                      <w:szCs w:val="21"/>
                    </w:rPr>
                  </w:pPr>
                </w:p>
              </w:tc>
              <w:tc>
                <w:tcPr>
                  <w:tcW w:w="1931" w:type="dxa"/>
                  <w:vMerge w:val="continue"/>
                  <w:vAlign w:val="center"/>
                </w:tcPr>
                <w:p>
                  <w:pPr>
                    <w:spacing w:line="360" w:lineRule="auto"/>
                    <w:jc w:val="center"/>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34" w:type="dxa"/>
                  <w:vAlign w:val="center"/>
                </w:tcPr>
                <w:p>
                  <w:pPr>
                    <w:spacing w:line="360" w:lineRule="auto"/>
                    <w:jc w:val="center"/>
                    <w:rPr>
                      <w:szCs w:val="21"/>
                    </w:rPr>
                  </w:pPr>
                  <w:r>
                    <w:rPr>
                      <w:szCs w:val="21"/>
                    </w:rPr>
                    <w:t>亚硝酸盐</w:t>
                  </w:r>
                </w:p>
              </w:tc>
              <w:tc>
                <w:tcPr>
                  <w:tcW w:w="1226" w:type="dxa"/>
                  <w:vAlign w:val="center"/>
                </w:tcPr>
                <w:p>
                  <w:pPr>
                    <w:spacing w:line="360" w:lineRule="auto"/>
                    <w:jc w:val="center"/>
                    <w:rPr>
                      <w:szCs w:val="21"/>
                    </w:rPr>
                  </w:pPr>
                  <w:r>
                    <w:rPr>
                      <w:szCs w:val="21"/>
                    </w:rPr>
                    <w:t>≤1.0</w:t>
                  </w:r>
                </w:p>
              </w:tc>
              <w:tc>
                <w:tcPr>
                  <w:tcW w:w="1931" w:type="dxa"/>
                  <w:vMerge w:val="continue"/>
                  <w:vAlign w:val="center"/>
                </w:tcPr>
                <w:p>
                  <w:pPr>
                    <w:spacing w:line="360" w:lineRule="auto"/>
                    <w:jc w:val="center"/>
                    <w:rPr>
                      <w:szCs w:val="21"/>
                    </w:rPr>
                  </w:pPr>
                </w:p>
              </w:tc>
              <w:tc>
                <w:tcPr>
                  <w:tcW w:w="1931" w:type="dxa"/>
                  <w:vMerge w:val="continue"/>
                  <w:vAlign w:val="center"/>
                </w:tcPr>
                <w:p>
                  <w:pPr>
                    <w:spacing w:line="360" w:lineRule="auto"/>
                    <w:jc w:val="center"/>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34" w:type="dxa"/>
                  <w:vAlign w:val="center"/>
                </w:tcPr>
                <w:p>
                  <w:pPr>
                    <w:spacing w:line="360" w:lineRule="auto"/>
                    <w:jc w:val="center"/>
                    <w:rPr>
                      <w:szCs w:val="21"/>
                    </w:rPr>
                  </w:pPr>
                  <w:r>
                    <w:rPr>
                      <w:szCs w:val="21"/>
                    </w:rPr>
                    <w:t>硝酸盐</w:t>
                  </w:r>
                </w:p>
              </w:tc>
              <w:tc>
                <w:tcPr>
                  <w:tcW w:w="1226" w:type="dxa"/>
                  <w:vAlign w:val="center"/>
                </w:tcPr>
                <w:p>
                  <w:pPr>
                    <w:spacing w:line="360" w:lineRule="auto"/>
                    <w:jc w:val="center"/>
                    <w:rPr>
                      <w:szCs w:val="21"/>
                    </w:rPr>
                  </w:pPr>
                  <w:r>
                    <w:rPr>
                      <w:szCs w:val="21"/>
                    </w:rPr>
                    <w:t>≤20</w:t>
                  </w:r>
                </w:p>
              </w:tc>
              <w:tc>
                <w:tcPr>
                  <w:tcW w:w="1931" w:type="dxa"/>
                  <w:vMerge w:val="continue"/>
                  <w:vAlign w:val="center"/>
                </w:tcPr>
                <w:p>
                  <w:pPr>
                    <w:spacing w:line="360" w:lineRule="auto"/>
                    <w:jc w:val="center"/>
                    <w:rPr>
                      <w:szCs w:val="21"/>
                    </w:rPr>
                  </w:pPr>
                </w:p>
              </w:tc>
              <w:tc>
                <w:tcPr>
                  <w:tcW w:w="1931" w:type="dxa"/>
                  <w:vMerge w:val="continue"/>
                  <w:vAlign w:val="center"/>
                </w:tcPr>
                <w:p>
                  <w:pPr>
                    <w:spacing w:line="360" w:lineRule="auto"/>
                    <w:jc w:val="center"/>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34" w:type="dxa"/>
                  <w:vAlign w:val="center"/>
                </w:tcPr>
                <w:p>
                  <w:pPr>
                    <w:spacing w:line="360" w:lineRule="auto"/>
                    <w:jc w:val="center"/>
                    <w:rPr>
                      <w:szCs w:val="21"/>
                    </w:rPr>
                  </w:pPr>
                  <w:r>
                    <w:rPr>
                      <w:rFonts w:hint="eastAsia"/>
                      <w:szCs w:val="21"/>
                    </w:rPr>
                    <w:t>硫酸盐</w:t>
                  </w:r>
                </w:p>
              </w:tc>
              <w:tc>
                <w:tcPr>
                  <w:tcW w:w="1226" w:type="dxa"/>
                  <w:vAlign w:val="center"/>
                </w:tcPr>
                <w:p>
                  <w:pPr>
                    <w:spacing w:line="360" w:lineRule="auto"/>
                    <w:jc w:val="center"/>
                    <w:rPr>
                      <w:szCs w:val="21"/>
                    </w:rPr>
                  </w:pPr>
                  <w:r>
                    <w:rPr>
                      <w:szCs w:val="21"/>
                    </w:rPr>
                    <w:t>≤250</w:t>
                  </w:r>
                </w:p>
              </w:tc>
              <w:tc>
                <w:tcPr>
                  <w:tcW w:w="1931" w:type="dxa"/>
                  <w:vMerge w:val="continue"/>
                  <w:vAlign w:val="center"/>
                </w:tcPr>
                <w:p>
                  <w:pPr>
                    <w:spacing w:line="360" w:lineRule="auto"/>
                    <w:jc w:val="center"/>
                    <w:rPr>
                      <w:szCs w:val="21"/>
                    </w:rPr>
                  </w:pPr>
                </w:p>
              </w:tc>
              <w:tc>
                <w:tcPr>
                  <w:tcW w:w="1931" w:type="dxa"/>
                  <w:vMerge w:val="continue"/>
                  <w:vAlign w:val="center"/>
                </w:tcPr>
                <w:p>
                  <w:pPr>
                    <w:spacing w:line="360" w:lineRule="auto"/>
                    <w:jc w:val="center"/>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34" w:type="dxa"/>
                  <w:vAlign w:val="center"/>
                </w:tcPr>
                <w:p>
                  <w:pPr>
                    <w:spacing w:line="360" w:lineRule="auto"/>
                    <w:jc w:val="center"/>
                    <w:rPr>
                      <w:szCs w:val="21"/>
                    </w:rPr>
                  </w:pPr>
                  <w:r>
                    <w:rPr>
                      <w:rFonts w:hint="eastAsia"/>
                      <w:szCs w:val="21"/>
                    </w:rPr>
                    <w:t>氯化物</w:t>
                  </w:r>
                </w:p>
              </w:tc>
              <w:tc>
                <w:tcPr>
                  <w:tcW w:w="1226" w:type="dxa"/>
                  <w:vAlign w:val="center"/>
                </w:tcPr>
                <w:p>
                  <w:pPr>
                    <w:spacing w:line="360" w:lineRule="auto"/>
                    <w:jc w:val="center"/>
                    <w:rPr>
                      <w:szCs w:val="21"/>
                    </w:rPr>
                  </w:pPr>
                  <w:r>
                    <w:rPr>
                      <w:szCs w:val="21"/>
                    </w:rPr>
                    <w:t>≤250</w:t>
                  </w:r>
                </w:p>
              </w:tc>
              <w:tc>
                <w:tcPr>
                  <w:tcW w:w="1931" w:type="dxa"/>
                  <w:vMerge w:val="continue"/>
                  <w:vAlign w:val="center"/>
                </w:tcPr>
                <w:p>
                  <w:pPr>
                    <w:spacing w:line="360" w:lineRule="auto"/>
                    <w:jc w:val="center"/>
                    <w:rPr>
                      <w:szCs w:val="21"/>
                    </w:rPr>
                  </w:pPr>
                </w:p>
              </w:tc>
              <w:tc>
                <w:tcPr>
                  <w:tcW w:w="1931" w:type="dxa"/>
                  <w:vMerge w:val="continue"/>
                  <w:vAlign w:val="center"/>
                </w:tcPr>
                <w:p>
                  <w:pPr>
                    <w:spacing w:line="360" w:lineRule="auto"/>
                    <w:jc w:val="center"/>
                    <w:rPr>
                      <w:szCs w:val="21"/>
                    </w:rPr>
                  </w:pPr>
                </w:p>
              </w:tc>
            </w:tr>
          </w:tbl>
          <w:p>
            <w:pPr>
              <w:spacing w:line="360" w:lineRule="auto"/>
              <w:ind w:firstLine="480" w:firstLineChars="200"/>
              <w:rPr>
                <w:sz w:val="24"/>
                <w:szCs w:val="24"/>
              </w:rPr>
            </w:pPr>
            <w:r>
              <w:rPr>
                <w:sz w:val="24"/>
                <w:szCs w:val="24"/>
              </w:rPr>
              <w:t>3、声环境质量标准：执行《声环境质量标准》（GB3096-2008）中2类</w:t>
            </w:r>
            <w:r>
              <w:rPr>
                <w:rFonts w:hint="eastAsia"/>
                <w:sz w:val="24"/>
                <w:szCs w:val="24"/>
              </w:rPr>
              <w:t>区</w:t>
            </w:r>
            <w:r>
              <w:rPr>
                <w:sz w:val="24"/>
                <w:szCs w:val="24"/>
              </w:rPr>
              <w:t>标准</w:t>
            </w:r>
            <w:r>
              <w:rPr>
                <w:rFonts w:hint="eastAsia"/>
                <w:sz w:val="24"/>
                <w:szCs w:val="24"/>
              </w:rPr>
              <w:t>，见表</w:t>
            </w:r>
            <w:r>
              <w:rPr>
                <w:sz w:val="24"/>
                <w:szCs w:val="24"/>
              </w:rPr>
              <w:t>20。</w:t>
            </w:r>
          </w:p>
          <w:p>
            <w:pPr>
              <w:spacing w:line="360" w:lineRule="auto"/>
              <w:jc w:val="center"/>
              <w:rPr>
                <w:spacing w:val="9"/>
                <w:sz w:val="24"/>
                <w:szCs w:val="24"/>
              </w:rPr>
            </w:pPr>
            <w:r>
              <w:rPr>
                <w:rFonts w:hint="eastAsia"/>
                <w:spacing w:val="9"/>
                <w:sz w:val="24"/>
                <w:szCs w:val="24"/>
              </w:rPr>
              <w:t>表</w:t>
            </w:r>
            <w:r>
              <w:rPr>
                <w:spacing w:val="9"/>
                <w:sz w:val="24"/>
                <w:szCs w:val="24"/>
              </w:rPr>
              <w:t xml:space="preserve">20 </w:t>
            </w:r>
            <w:r>
              <w:rPr>
                <w:rFonts w:hint="eastAsia"/>
                <w:spacing w:val="9"/>
                <w:sz w:val="24"/>
                <w:szCs w:val="24"/>
              </w:rPr>
              <w:t>声环境质量标准</w:t>
            </w:r>
          </w:p>
          <w:tbl>
            <w:tblPr>
              <w:tblStyle w:val="28"/>
              <w:tblW w:w="7722"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61"/>
              <w:gridCol w:w="1049"/>
              <w:gridCol w:w="825"/>
              <w:gridCol w:w="899"/>
              <w:gridCol w:w="298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61" w:type="dxa"/>
                  <w:vMerge w:val="restart"/>
                  <w:vAlign w:val="center"/>
                </w:tcPr>
                <w:p>
                  <w:pPr>
                    <w:spacing w:line="360" w:lineRule="auto"/>
                    <w:jc w:val="center"/>
                    <w:rPr>
                      <w:szCs w:val="21"/>
                    </w:rPr>
                  </w:pPr>
                  <w:r>
                    <w:rPr>
                      <w:szCs w:val="21"/>
                    </w:rPr>
                    <w:t>Leq(A)</w:t>
                  </w:r>
                </w:p>
              </w:tc>
              <w:tc>
                <w:tcPr>
                  <w:tcW w:w="1049" w:type="dxa"/>
                  <w:vAlign w:val="center"/>
                </w:tcPr>
                <w:p>
                  <w:pPr>
                    <w:spacing w:line="360" w:lineRule="auto"/>
                    <w:jc w:val="center"/>
                    <w:rPr>
                      <w:szCs w:val="21"/>
                    </w:rPr>
                  </w:pPr>
                  <w:r>
                    <w:rPr>
                      <w:szCs w:val="21"/>
                    </w:rPr>
                    <w:t>昼间</w:t>
                  </w:r>
                </w:p>
              </w:tc>
              <w:tc>
                <w:tcPr>
                  <w:tcW w:w="825" w:type="dxa"/>
                  <w:vAlign w:val="center"/>
                </w:tcPr>
                <w:p>
                  <w:pPr>
                    <w:spacing w:line="360" w:lineRule="auto"/>
                    <w:jc w:val="center"/>
                    <w:rPr>
                      <w:szCs w:val="21"/>
                    </w:rPr>
                  </w:pPr>
                  <w:r>
                    <w:rPr>
                      <w:rFonts w:hint="eastAsia"/>
                      <w:szCs w:val="21"/>
                    </w:rPr>
                    <w:t>6</w:t>
                  </w:r>
                  <w:r>
                    <w:rPr>
                      <w:szCs w:val="21"/>
                    </w:rPr>
                    <w:t>0</w:t>
                  </w:r>
                </w:p>
              </w:tc>
              <w:tc>
                <w:tcPr>
                  <w:tcW w:w="899" w:type="dxa"/>
                  <w:vMerge w:val="restart"/>
                  <w:vAlign w:val="center"/>
                </w:tcPr>
                <w:p>
                  <w:pPr>
                    <w:spacing w:line="360" w:lineRule="auto"/>
                    <w:jc w:val="center"/>
                    <w:rPr>
                      <w:szCs w:val="21"/>
                    </w:rPr>
                  </w:pPr>
                  <w:r>
                    <w:rPr>
                      <w:szCs w:val="21"/>
                    </w:rPr>
                    <w:t>dB(A)</w:t>
                  </w:r>
                </w:p>
              </w:tc>
              <w:tc>
                <w:tcPr>
                  <w:tcW w:w="2988" w:type="dxa"/>
                  <w:vMerge w:val="restart"/>
                  <w:vAlign w:val="center"/>
                </w:tcPr>
                <w:p>
                  <w:pPr>
                    <w:spacing w:line="360" w:lineRule="auto"/>
                    <w:jc w:val="center"/>
                    <w:rPr>
                      <w:szCs w:val="21"/>
                    </w:rPr>
                  </w:pPr>
                  <w:r>
                    <w:rPr>
                      <w:szCs w:val="21"/>
                    </w:rPr>
                    <w:t>《声环境质量标准》</w:t>
                  </w:r>
                </w:p>
                <w:p>
                  <w:pPr>
                    <w:spacing w:line="360" w:lineRule="auto"/>
                    <w:jc w:val="center"/>
                    <w:rPr>
                      <w:szCs w:val="21"/>
                    </w:rPr>
                  </w:pPr>
                  <w:r>
                    <w:rPr>
                      <w:szCs w:val="21"/>
                    </w:rPr>
                    <w:t>（GB3096-2008）2类</w:t>
                  </w:r>
                  <w:r>
                    <w:rPr>
                      <w:rFonts w:hint="eastAsia"/>
                      <w:szCs w:val="21"/>
                    </w:rPr>
                    <w:t>区</w:t>
                  </w:r>
                  <w:r>
                    <w:rPr>
                      <w:szCs w:val="21"/>
                    </w:rPr>
                    <w:t>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61" w:type="dxa"/>
                  <w:vMerge w:val="continue"/>
                  <w:vAlign w:val="center"/>
                </w:tcPr>
                <w:p>
                  <w:pPr>
                    <w:spacing w:line="360" w:lineRule="auto"/>
                    <w:jc w:val="center"/>
                    <w:rPr>
                      <w:szCs w:val="21"/>
                    </w:rPr>
                  </w:pPr>
                </w:p>
              </w:tc>
              <w:tc>
                <w:tcPr>
                  <w:tcW w:w="1049" w:type="dxa"/>
                  <w:vAlign w:val="center"/>
                </w:tcPr>
                <w:p>
                  <w:pPr>
                    <w:spacing w:line="360" w:lineRule="auto"/>
                    <w:jc w:val="center"/>
                    <w:rPr>
                      <w:szCs w:val="21"/>
                    </w:rPr>
                  </w:pPr>
                  <w:r>
                    <w:rPr>
                      <w:rFonts w:hint="eastAsia"/>
                      <w:szCs w:val="21"/>
                    </w:rPr>
                    <w:t>夜间</w:t>
                  </w:r>
                </w:p>
              </w:tc>
              <w:tc>
                <w:tcPr>
                  <w:tcW w:w="825" w:type="dxa"/>
                  <w:vAlign w:val="center"/>
                </w:tcPr>
                <w:p>
                  <w:pPr>
                    <w:spacing w:line="360" w:lineRule="auto"/>
                    <w:jc w:val="center"/>
                    <w:rPr>
                      <w:szCs w:val="21"/>
                    </w:rPr>
                  </w:pPr>
                  <w:r>
                    <w:rPr>
                      <w:rFonts w:hint="eastAsia"/>
                      <w:szCs w:val="21"/>
                    </w:rPr>
                    <w:t>5</w:t>
                  </w:r>
                  <w:r>
                    <w:rPr>
                      <w:szCs w:val="21"/>
                    </w:rPr>
                    <w:t>0</w:t>
                  </w:r>
                </w:p>
              </w:tc>
              <w:tc>
                <w:tcPr>
                  <w:tcW w:w="899" w:type="dxa"/>
                  <w:vMerge w:val="continue"/>
                  <w:vAlign w:val="center"/>
                </w:tcPr>
                <w:p>
                  <w:pPr>
                    <w:spacing w:line="360" w:lineRule="auto"/>
                    <w:jc w:val="center"/>
                    <w:rPr>
                      <w:szCs w:val="21"/>
                    </w:rPr>
                  </w:pPr>
                </w:p>
              </w:tc>
              <w:tc>
                <w:tcPr>
                  <w:tcW w:w="2988" w:type="dxa"/>
                  <w:vMerge w:val="continue"/>
                  <w:vAlign w:val="center"/>
                </w:tcPr>
                <w:p>
                  <w:pPr>
                    <w:spacing w:line="360" w:lineRule="auto"/>
                    <w:jc w:val="center"/>
                    <w:rPr>
                      <w:szCs w:val="21"/>
                    </w:rPr>
                  </w:pPr>
                </w:p>
              </w:tc>
            </w:tr>
          </w:tbl>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851" w:type="dxa"/>
            <w:vAlign w:val="center"/>
          </w:tcPr>
          <w:p>
            <w:pPr>
              <w:spacing w:line="360" w:lineRule="auto"/>
              <w:jc w:val="center"/>
              <w:rPr>
                <w:b/>
                <w:bCs/>
                <w:sz w:val="24"/>
                <w:szCs w:val="24"/>
              </w:rPr>
            </w:pPr>
            <w:r>
              <w:rPr>
                <w:b/>
                <w:bCs/>
                <w:sz w:val="24"/>
                <w:szCs w:val="24"/>
              </w:rPr>
              <w:t>污</w:t>
            </w:r>
          </w:p>
          <w:p>
            <w:pPr>
              <w:spacing w:line="360" w:lineRule="auto"/>
              <w:jc w:val="center"/>
              <w:rPr>
                <w:b/>
                <w:bCs/>
                <w:sz w:val="24"/>
                <w:szCs w:val="24"/>
              </w:rPr>
            </w:pPr>
            <w:r>
              <w:rPr>
                <w:b/>
                <w:bCs/>
                <w:sz w:val="24"/>
                <w:szCs w:val="24"/>
              </w:rPr>
              <w:t>染</w:t>
            </w:r>
          </w:p>
          <w:p>
            <w:pPr>
              <w:spacing w:line="360" w:lineRule="auto"/>
              <w:jc w:val="center"/>
              <w:rPr>
                <w:b/>
                <w:bCs/>
                <w:sz w:val="24"/>
                <w:szCs w:val="24"/>
              </w:rPr>
            </w:pPr>
            <w:r>
              <w:rPr>
                <w:b/>
                <w:bCs/>
                <w:sz w:val="24"/>
                <w:szCs w:val="24"/>
              </w:rPr>
              <w:t>物</w:t>
            </w:r>
          </w:p>
          <w:p>
            <w:pPr>
              <w:spacing w:line="360" w:lineRule="auto"/>
              <w:jc w:val="center"/>
              <w:rPr>
                <w:b/>
                <w:bCs/>
                <w:sz w:val="24"/>
                <w:szCs w:val="24"/>
              </w:rPr>
            </w:pPr>
            <w:r>
              <w:rPr>
                <w:b/>
                <w:bCs/>
                <w:sz w:val="24"/>
                <w:szCs w:val="24"/>
              </w:rPr>
              <w:t>排</w:t>
            </w:r>
          </w:p>
          <w:p>
            <w:pPr>
              <w:spacing w:line="360" w:lineRule="auto"/>
              <w:jc w:val="center"/>
              <w:rPr>
                <w:b/>
                <w:bCs/>
                <w:sz w:val="24"/>
                <w:szCs w:val="24"/>
              </w:rPr>
            </w:pPr>
            <w:r>
              <w:rPr>
                <w:b/>
                <w:bCs/>
                <w:sz w:val="24"/>
                <w:szCs w:val="24"/>
              </w:rPr>
              <w:t>放</w:t>
            </w:r>
          </w:p>
          <w:p>
            <w:pPr>
              <w:spacing w:line="360" w:lineRule="auto"/>
              <w:jc w:val="center"/>
              <w:rPr>
                <w:b/>
                <w:bCs/>
                <w:sz w:val="24"/>
                <w:szCs w:val="24"/>
              </w:rPr>
            </w:pPr>
            <w:r>
              <w:rPr>
                <w:b/>
                <w:bCs/>
                <w:sz w:val="24"/>
                <w:szCs w:val="24"/>
              </w:rPr>
              <w:t>标</w:t>
            </w:r>
          </w:p>
          <w:p>
            <w:pPr>
              <w:spacing w:line="360" w:lineRule="auto"/>
              <w:jc w:val="center"/>
              <w:rPr>
                <w:bCs/>
                <w:sz w:val="24"/>
                <w:szCs w:val="24"/>
              </w:rPr>
            </w:pPr>
            <w:r>
              <w:rPr>
                <w:b/>
                <w:bCs/>
                <w:sz w:val="24"/>
                <w:szCs w:val="24"/>
              </w:rPr>
              <w:t>准</w:t>
            </w:r>
          </w:p>
        </w:tc>
        <w:tc>
          <w:tcPr>
            <w:tcW w:w="7938" w:type="dxa"/>
            <w:vAlign w:val="center"/>
          </w:tcPr>
          <w:p>
            <w:pPr>
              <w:spacing w:line="360" w:lineRule="auto"/>
              <w:ind w:firstLine="482" w:firstLineChars="200"/>
              <w:jc w:val="left"/>
              <w:rPr>
                <w:b/>
                <w:bCs/>
                <w:sz w:val="24"/>
                <w:szCs w:val="24"/>
              </w:rPr>
            </w:pPr>
            <w:r>
              <w:rPr>
                <w:rFonts w:hint="eastAsia"/>
                <w:b/>
                <w:bCs/>
                <w:sz w:val="24"/>
                <w:szCs w:val="24"/>
              </w:rPr>
              <w:t>施工期</w:t>
            </w:r>
          </w:p>
          <w:p>
            <w:pPr>
              <w:autoSpaceDE w:val="0"/>
              <w:autoSpaceDN w:val="0"/>
              <w:spacing w:line="360" w:lineRule="auto"/>
              <w:ind w:firstLine="480" w:firstLineChars="200"/>
              <w:jc w:val="left"/>
              <w:textAlignment w:val="auto"/>
              <w:rPr>
                <w:rFonts w:cs="宋体"/>
                <w:sz w:val="24"/>
                <w:szCs w:val="24"/>
              </w:rPr>
            </w:pPr>
            <w:r>
              <w:rPr>
                <w:rFonts w:hint="eastAsia" w:cs="宋体"/>
                <w:sz w:val="24"/>
                <w:szCs w:val="24"/>
              </w:rPr>
              <w:t>（</w:t>
            </w:r>
            <w:r>
              <w:rPr>
                <w:rFonts w:cs="TimesNewRomanPSMT"/>
                <w:sz w:val="24"/>
                <w:szCs w:val="24"/>
              </w:rPr>
              <w:t>1</w:t>
            </w:r>
            <w:r>
              <w:rPr>
                <w:rFonts w:hint="eastAsia" w:cs="宋体"/>
                <w:sz w:val="24"/>
                <w:szCs w:val="24"/>
              </w:rPr>
              <w:t>）施工期扬尘执行《施工场地扬尘排放标准》（</w:t>
            </w:r>
            <w:r>
              <w:rPr>
                <w:rFonts w:cs="TimesNewRomanPSMT"/>
                <w:sz w:val="24"/>
                <w:szCs w:val="24"/>
              </w:rPr>
              <w:t>DB13/2934-2019</w:t>
            </w:r>
            <w:r>
              <w:rPr>
                <w:rFonts w:hint="eastAsia" w:cs="宋体"/>
                <w:sz w:val="24"/>
                <w:szCs w:val="24"/>
              </w:rPr>
              <w:t>）中扬尘排放浓度限值。</w:t>
            </w:r>
          </w:p>
          <w:p>
            <w:pPr>
              <w:autoSpaceDE w:val="0"/>
              <w:autoSpaceDN w:val="0"/>
              <w:spacing w:line="360" w:lineRule="auto"/>
              <w:ind w:firstLine="480" w:firstLineChars="200"/>
              <w:jc w:val="left"/>
              <w:textAlignment w:val="auto"/>
              <w:rPr>
                <w:rFonts w:cs="宋体"/>
                <w:sz w:val="24"/>
                <w:szCs w:val="24"/>
              </w:rPr>
            </w:pPr>
            <w:r>
              <w:rPr>
                <w:rFonts w:hint="eastAsia" w:cs="宋体"/>
                <w:sz w:val="24"/>
                <w:szCs w:val="24"/>
              </w:rPr>
              <w:t>（</w:t>
            </w:r>
            <w:r>
              <w:rPr>
                <w:rFonts w:cs="TimesNewRomanPSMT"/>
                <w:sz w:val="24"/>
                <w:szCs w:val="24"/>
              </w:rPr>
              <w:t>2</w:t>
            </w:r>
            <w:r>
              <w:rPr>
                <w:rFonts w:hint="eastAsia" w:cs="宋体"/>
                <w:sz w:val="24"/>
                <w:szCs w:val="24"/>
              </w:rPr>
              <w:t>）施工期噪声执行《建筑施工场界环境噪声排放标准》（</w:t>
            </w:r>
            <w:r>
              <w:rPr>
                <w:rFonts w:cs="TimesNewRomanPSMT"/>
                <w:sz w:val="24"/>
                <w:szCs w:val="24"/>
              </w:rPr>
              <w:t>GB12523-2011</w:t>
            </w:r>
            <w:r>
              <w:rPr>
                <w:rFonts w:hint="eastAsia" w:cs="宋体"/>
                <w:sz w:val="24"/>
                <w:szCs w:val="24"/>
              </w:rPr>
              <w:t>）排放限值。</w:t>
            </w:r>
          </w:p>
          <w:p>
            <w:pPr>
              <w:autoSpaceDE w:val="0"/>
              <w:autoSpaceDN w:val="0"/>
              <w:spacing w:line="360" w:lineRule="auto"/>
              <w:ind w:firstLine="480" w:firstLineChars="200"/>
              <w:jc w:val="left"/>
              <w:textAlignment w:val="auto"/>
              <w:rPr>
                <w:rFonts w:cs="宋体"/>
                <w:sz w:val="24"/>
                <w:szCs w:val="24"/>
              </w:rPr>
            </w:pPr>
            <w:r>
              <w:rPr>
                <w:rFonts w:hint="eastAsia" w:cs="宋体"/>
                <w:sz w:val="24"/>
                <w:szCs w:val="24"/>
              </w:rPr>
              <w:t>（</w:t>
            </w:r>
            <w:r>
              <w:rPr>
                <w:rFonts w:cs="TimesNewRomanPSMT"/>
                <w:sz w:val="24"/>
                <w:szCs w:val="24"/>
              </w:rPr>
              <w:t>3</w:t>
            </w:r>
            <w:r>
              <w:rPr>
                <w:rFonts w:hint="eastAsia" w:cs="宋体"/>
                <w:sz w:val="24"/>
                <w:szCs w:val="24"/>
              </w:rPr>
              <w:t>）建筑垃圾执行《一般工业固体废物贮存、处置场污染控制标准》（</w:t>
            </w:r>
            <w:r>
              <w:rPr>
                <w:rFonts w:cs="TimesNewRomanPSMT"/>
                <w:sz w:val="24"/>
                <w:szCs w:val="24"/>
              </w:rPr>
              <w:t>GB18599-2001</w:t>
            </w:r>
            <w:r>
              <w:rPr>
                <w:rFonts w:hint="eastAsia" w:cs="宋体"/>
                <w:sz w:val="24"/>
                <w:szCs w:val="24"/>
              </w:rPr>
              <w:t>）及其</w:t>
            </w:r>
            <w:r>
              <w:rPr>
                <w:rFonts w:cs="TimesNewRomanPSMT"/>
                <w:sz w:val="24"/>
                <w:szCs w:val="24"/>
              </w:rPr>
              <w:t>2013</w:t>
            </w:r>
            <w:r>
              <w:rPr>
                <w:rFonts w:hint="eastAsia" w:cs="宋体"/>
                <w:sz w:val="24"/>
                <w:szCs w:val="24"/>
              </w:rPr>
              <w:t>修改单要求。</w:t>
            </w:r>
          </w:p>
          <w:p>
            <w:pPr>
              <w:spacing w:line="360" w:lineRule="auto"/>
              <w:ind w:firstLine="482" w:firstLineChars="200"/>
              <w:jc w:val="left"/>
              <w:rPr>
                <w:b/>
                <w:bCs/>
                <w:sz w:val="24"/>
                <w:szCs w:val="24"/>
              </w:rPr>
            </w:pPr>
            <w:r>
              <w:rPr>
                <w:rFonts w:hint="eastAsia"/>
                <w:b/>
                <w:bCs/>
                <w:sz w:val="24"/>
                <w:szCs w:val="24"/>
              </w:rPr>
              <w:t>运营期</w:t>
            </w:r>
          </w:p>
          <w:p>
            <w:pPr>
              <w:autoSpaceDE w:val="0"/>
              <w:autoSpaceDN w:val="0"/>
              <w:spacing w:line="360" w:lineRule="auto"/>
              <w:ind w:firstLine="480" w:firstLineChars="200"/>
              <w:jc w:val="left"/>
              <w:textAlignment w:val="auto"/>
              <w:rPr>
                <w:rFonts w:cs="宋体"/>
                <w:sz w:val="24"/>
                <w:szCs w:val="24"/>
              </w:rPr>
            </w:pPr>
            <w:r>
              <w:rPr>
                <w:rFonts w:cs="宋体"/>
                <w:sz w:val="24"/>
                <w:szCs w:val="24"/>
              </w:rPr>
              <w:t>1</w:t>
            </w:r>
            <w:r>
              <w:rPr>
                <w:rFonts w:hint="eastAsia" w:cs="宋体"/>
                <w:sz w:val="24"/>
                <w:szCs w:val="24"/>
              </w:rPr>
              <w:t>、废气：氨、硫化氢有组织废气执行《恶臭污染物排放标准》（GB14554-93）表2中恶臭污染物排放标准值；无组织排放执行《恶臭污染物排放标准》（GB14554-93）表1恶臭污染物厂界标准值中新扩改建二级标准值。</w:t>
            </w:r>
          </w:p>
          <w:p>
            <w:pPr>
              <w:autoSpaceDE w:val="0"/>
              <w:autoSpaceDN w:val="0"/>
              <w:spacing w:line="360" w:lineRule="auto"/>
              <w:ind w:firstLine="480" w:firstLineChars="200"/>
              <w:jc w:val="left"/>
              <w:textAlignment w:val="auto"/>
              <w:rPr>
                <w:rFonts w:cs="宋体"/>
                <w:sz w:val="24"/>
                <w:szCs w:val="24"/>
              </w:rPr>
            </w:pPr>
            <w:r>
              <w:rPr>
                <w:rFonts w:cs="宋体"/>
                <w:sz w:val="24"/>
                <w:szCs w:val="24"/>
              </w:rPr>
              <w:t>2</w:t>
            </w:r>
            <w:r>
              <w:rPr>
                <w:rFonts w:hint="eastAsia" w:cs="宋体"/>
                <w:sz w:val="24"/>
                <w:szCs w:val="24"/>
              </w:rPr>
              <w:t>、</w:t>
            </w:r>
            <w:r>
              <w:rPr>
                <w:rFonts w:cs="宋体"/>
                <w:sz w:val="24"/>
                <w:szCs w:val="24"/>
              </w:rPr>
              <w:t>废水：</w:t>
            </w:r>
            <w:r>
              <w:rPr>
                <w:rFonts w:hint="eastAsia" w:cs="宋体"/>
                <w:sz w:val="24"/>
                <w:szCs w:val="24"/>
              </w:rPr>
              <w:t>营运期产生的污水主要为垃圾渗滤液、冲洗废水、员工生活污水。项目产生的污水拟经收集后用专用运输车运至鹰手营子矿区垃圾填埋场渗滤液处理站统一进行处理，进水水质为：COD</w:t>
            </w:r>
            <w:r>
              <w:rPr>
                <w:rFonts w:hint="eastAsia" w:cs="宋体"/>
                <w:sz w:val="24"/>
                <w:szCs w:val="24"/>
                <w:vertAlign w:val="subscript"/>
              </w:rPr>
              <w:t>cr</w:t>
            </w:r>
            <w:r>
              <w:rPr>
                <w:rFonts w:hint="eastAsia" w:cs="宋体"/>
                <w:sz w:val="24"/>
                <w:szCs w:val="24"/>
              </w:rPr>
              <w:t>（7000mg/L）、BOD</w:t>
            </w:r>
            <w:r>
              <w:rPr>
                <w:rFonts w:hint="eastAsia" w:cs="宋体"/>
                <w:sz w:val="24"/>
                <w:szCs w:val="24"/>
                <w:vertAlign w:val="subscript"/>
              </w:rPr>
              <w:t>5</w:t>
            </w:r>
            <w:r>
              <w:rPr>
                <w:rFonts w:hint="eastAsia" w:cs="宋体"/>
                <w:sz w:val="24"/>
                <w:szCs w:val="24"/>
              </w:rPr>
              <w:t>（3500mg/L）、SS（600mg/L）、NH</w:t>
            </w:r>
            <w:r>
              <w:rPr>
                <w:rFonts w:hint="eastAsia" w:cs="宋体"/>
                <w:sz w:val="24"/>
                <w:szCs w:val="24"/>
                <w:vertAlign w:val="subscript"/>
              </w:rPr>
              <w:t>3</w:t>
            </w:r>
            <w:r>
              <w:rPr>
                <w:rFonts w:hint="eastAsia" w:cs="宋体"/>
                <w:sz w:val="24"/>
                <w:szCs w:val="24"/>
              </w:rPr>
              <w:t>-N（200mg/L），设计出水水质符合污水处理厂工艺设计进水水质指标（GB16889-1997）要求，其中COD</w:t>
            </w:r>
            <w:r>
              <w:rPr>
                <w:rFonts w:hint="eastAsia" w:cs="宋体"/>
                <w:sz w:val="24"/>
                <w:szCs w:val="24"/>
                <w:vertAlign w:val="subscript"/>
              </w:rPr>
              <w:t>cr</w:t>
            </w:r>
            <w:r>
              <w:rPr>
                <w:rFonts w:hint="eastAsia" w:cs="宋体"/>
                <w:sz w:val="24"/>
                <w:szCs w:val="24"/>
              </w:rPr>
              <w:t>（400mg/L）、BOD</w:t>
            </w:r>
            <w:r>
              <w:rPr>
                <w:rFonts w:hint="eastAsia" w:cs="宋体"/>
                <w:sz w:val="24"/>
                <w:szCs w:val="24"/>
                <w:vertAlign w:val="subscript"/>
              </w:rPr>
              <w:t>5</w:t>
            </w:r>
            <w:r>
              <w:rPr>
                <w:rFonts w:hint="eastAsia" w:cs="宋体"/>
                <w:sz w:val="24"/>
                <w:szCs w:val="24"/>
              </w:rPr>
              <w:t>（200mg/L）、SS（350mg/L）、NH</w:t>
            </w:r>
            <w:r>
              <w:rPr>
                <w:rFonts w:hint="eastAsia" w:cs="宋体"/>
                <w:sz w:val="24"/>
                <w:szCs w:val="24"/>
                <w:vertAlign w:val="subscript"/>
              </w:rPr>
              <w:t>3</w:t>
            </w:r>
            <w:r>
              <w:rPr>
                <w:rFonts w:hint="eastAsia" w:cs="宋体"/>
                <w:sz w:val="24"/>
                <w:szCs w:val="24"/>
              </w:rPr>
              <w:t>-N（40mg/L），处理后排入柳源污水处理厂进一步处理，排放标准达到《污水综合排放标准》（GB8978-1996）表4中的三级标准。</w:t>
            </w:r>
          </w:p>
          <w:p>
            <w:pPr>
              <w:spacing w:line="360" w:lineRule="auto"/>
              <w:ind w:firstLine="480" w:firstLineChars="200"/>
              <w:rPr>
                <w:sz w:val="24"/>
                <w:szCs w:val="24"/>
              </w:rPr>
            </w:pPr>
            <w:r>
              <w:rPr>
                <w:rFonts w:hint="eastAsia"/>
                <w:sz w:val="24"/>
                <w:szCs w:val="24"/>
              </w:rPr>
              <w:t>3</w:t>
            </w:r>
            <w:r>
              <w:rPr>
                <w:sz w:val="24"/>
                <w:szCs w:val="24"/>
              </w:rPr>
              <w:t>、噪声：项目场界噪声执行《工业企业厂界环境噪声排放标准》(GB12348-2008)2类</w:t>
            </w:r>
            <w:r>
              <w:rPr>
                <w:rFonts w:hint="eastAsia"/>
                <w:sz w:val="24"/>
                <w:szCs w:val="24"/>
              </w:rPr>
              <w:t>区</w:t>
            </w:r>
            <w:r>
              <w:rPr>
                <w:sz w:val="24"/>
                <w:szCs w:val="24"/>
              </w:rPr>
              <w:t>标准，即昼间≤</w:t>
            </w:r>
            <w:r>
              <w:rPr>
                <w:rFonts w:hint="eastAsia"/>
                <w:sz w:val="24"/>
                <w:szCs w:val="24"/>
              </w:rPr>
              <w:t>6</w:t>
            </w:r>
            <w:r>
              <w:rPr>
                <w:sz w:val="24"/>
                <w:szCs w:val="24"/>
              </w:rPr>
              <w:t>0dB(A)、夜间≤</w:t>
            </w:r>
            <w:r>
              <w:rPr>
                <w:rFonts w:hint="eastAsia"/>
                <w:sz w:val="24"/>
                <w:szCs w:val="24"/>
              </w:rPr>
              <w:t>5</w:t>
            </w:r>
            <w:r>
              <w:rPr>
                <w:sz w:val="24"/>
                <w:szCs w:val="24"/>
              </w:rPr>
              <w:t>0dB(A)。</w:t>
            </w:r>
          </w:p>
          <w:p>
            <w:pPr>
              <w:spacing w:line="360" w:lineRule="auto"/>
              <w:ind w:firstLine="480" w:firstLineChars="200"/>
              <w:rPr>
                <w:sz w:val="24"/>
                <w:szCs w:val="24"/>
              </w:rPr>
            </w:pPr>
            <w:r>
              <w:rPr>
                <w:rFonts w:hint="eastAsia"/>
                <w:sz w:val="24"/>
                <w:szCs w:val="24"/>
              </w:rPr>
              <w:t>4、固体废物</w:t>
            </w:r>
            <w:r>
              <w:rPr>
                <w:sz w:val="24"/>
                <w:szCs w:val="24"/>
              </w:rPr>
              <w:t>：</w:t>
            </w:r>
          </w:p>
          <w:p>
            <w:pPr>
              <w:spacing w:line="360" w:lineRule="auto"/>
              <w:ind w:firstLine="480" w:firstLineChars="200"/>
              <w:rPr>
                <w:sz w:val="24"/>
                <w:szCs w:val="24"/>
              </w:rPr>
            </w:pPr>
            <w:r>
              <w:rPr>
                <w:rFonts w:hint="eastAsia"/>
                <w:sz w:val="24"/>
                <w:szCs w:val="24"/>
              </w:rPr>
              <w:t>营运期</w:t>
            </w:r>
            <w:r>
              <w:rPr>
                <w:sz w:val="24"/>
                <w:szCs w:val="24"/>
              </w:rPr>
              <w:t>生活垃圾处置参照执行《</w:t>
            </w:r>
            <w:r>
              <w:rPr>
                <w:rFonts w:hint="eastAsia"/>
                <w:sz w:val="24"/>
                <w:szCs w:val="24"/>
              </w:rPr>
              <w:t>中华人民共和国固体废物污染环境防治法</w:t>
            </w:r>
            <w:r>
              <w:rPr>
                <w:sz w:val="24"/>
                <w:szCs w:val="24"/>
              </w:rPr>
              <w:t>》</w:t>
            </w:r>
            <w:r>
              <w:rPr>
                <w:rFonts w:hint="eastAsia"/>
                <w:sz w:val="24"/>
                <w:szCs w:val="24"/>
              </w:rPr>
              <w:t>（2016年修正）和《生活垃圾填埋场污染控制标准》（</w:t>
            </w:r>
            <w:r>
              <w:rPr>
                <w:sz w:val="24"/>
                <w:szCs w:val="24"/>
              </w:rPr>
              <w:t>GB16889-2008</w:t>
            </w:r>
            <w:r>
              <w:rPr>
                <w:rFonts w:hint="eastAsia"/>
                <w:sz w:val="24"/>
                <w:szCs w:val="24"/>
              </w:rPr>
              <w:t>）</w:t>
            </w:r>
            <w:r>
              <w:rPr>
                <w:sz w:val="24"/>
                <w:szCs w:val="24"/>
              </w:rPr>
              <w:t>中的有关规定和要求</w:t>
            </w:r>
            <w:r>
              <w:rPr>
                <w:rFonts w:hint="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9" w:hRule="atLeast"/>
        </w:trPr>
        <w:tc>
          <w:tcPr>
            <w:tcW w:w="851" w:type="dxa"/>
            <w:vAlign w:val="center"/>
          </w:tcPr>
          <w:p>
            <w:pPr>
              <w:spacing w:line="360" w:lineRule="auto"/>
              <w:jc w:val="center"/>
              <w:rPr>
                <w:b/>
                <w:bCs/>
                <w:sz w:val="24"/>
                <w:szCs w:val="24"/>
              </w:rPr>
            </w:pPr>
            <w:r>
              <w:rPr>
                <w:b/>
                <w:bCs/>
                <w:sz w:val="24"/>
                <w:szCs w:val="24"/>
              </w:rPr>
              <w:t>总</w:t>
            </w:r>
          </w:p>
          <w:p>
            <w:pPr>
              <w:spacing w:line="360" w:lineRule="auto"/>
              <w:jc w:val="center"/>
              <w:rPr>
                <w:b/>
                <w:bCs/>
                <w:sz w:val="24"/>
                <w:szCs w:val="24"/>
              </w:rPr>
            </w:pPr>
            <w:r>
              <w:rPr>
                <w:b/>
                <w:bCs/>
                <w:sz w:val="24"/>
                <w:szCs w:val="24"/>
              </w:rPr>
              <w:t>量</w:t>
            </w:r>
          </w:p>
          <w:p>
            <w:pPr>
              <w:spacing w:line="360" w:lineRule="auto"/>
              <w:jc w:val="center"/>
              <w:rPr>
                <w:b/>
                <w:bCs/>
                <w:sz w:val="24"/>
                <w:szCs w:val="24"/>
              </w:rPr>
            </w:pPr>
            <w:r>
              <w:rPr>
                <w:b/>
                <w:bCs/>
                <w:sz w:val="24"/>
                <w:szCs w:val="24"/>
              </w:rPr>
              <w:t>控</w:t>
            </w:r>
          </w:p>
          <w:p>
            <w:pPr>
              <w:spacing w:line="360" w:lineRule="auto"/>
              <w:jc w:val="center"/>
              <w:rPr>
                <w:b/>
                <w:bCs/>
                <w:sz w:val="24"/>
                <w:szCs w:val="24"/>
              </w:rPr>
            </w:pPr>
            <w:r>
              <w:rPr>
                <w:b/>
                <w:bCs/>
                <w:sz w:val="24"/>
                <w:szCs w:val="24"/>
              </w:rPr>
              <w:t>制</w:t>
            </w:r>
          </w:p>
          <w:p>
            <w:pPr>
              <w:spacing w:line="360" w:lineRule="auto"/>
              <w:jc w:val="center"/>
              <w:rPr>
                <w:b/>
                <w:bCs/>
                <w:sz w:val="24"/>
                <w:szCs w:val="24"/>
              </w:rPr>
            </w:pPr>
            <w:r>
              <w:rPr>
                <w:b/>
                <w:bCs/>
                <w:sz w:val="24"/>
                <w:szCs w:val="24"/>
              </w:rPr>
              <w:t>指</w:t>
            </w:r>
          </w:p>
          <w:p>
            <w:pPr>
              <w:spacing w:line="360" w:lineRule="auto"/>
              <w:jc w:val="center"/>
              <w:rPr>
                <w:b/>
                <w:bCs/>
                <w:sz w:val="24"/>
                <w:szCs w:val="24"/>
              </w:rPr>
            </w:pPr>
            <w:r>
              <w:rPr>
                <w:b/>
                <w:bCs/>
                <w:sz w:val="24"/>
                <w:szCs w:val="24"/>
              </w:rPr>
              <w:t>标</w:t>
            </w:r>
          </w:p>
        </w:tc>
        <w:tc>
          <w:tcPr>
            <w:tcW w:w="7938" w:type="dxa"/>
            <w:vAlign w:val="center"/>
          </w:tcPr>
          <w:p>
            <w:pPr>
              <w:spacing w:line="360" w:lineRule="auto"/>
              <w:ind w:firstLine="480" w:firstLineChars="200"/>
              <w:rPr>
                <w:sz w:val="24"/>
                <w:szCs w:val="24"/>
              </w:rPr>
            </w:pPr>
            <w:r>
              <w:rPr>
                <w:rFonts w:hint="eastAsia"/>
                <w:sz w:val="24"/>
                <w:szCs w:val="24"/>
              </w:rPr>
              <w:t>根据</w:t>
            </w:r>
            <w:r>
              <w:rPr>
                <w:sz w:val="24"/>
                <w:szCs w:val="24"/>
              </w:rPr>
              <w:t>环保部有关污染物排放总量控制的要求，结合本项目的排污特点，</w:t>
            </w:r>
            <w:r>
              <w:rPr>
                <w:rFonts w:hint="eastAsia"/>
                <w:sz w:val="24"/>
                <w:szCs w:val="24"/>
              </w:rPr>
              <w:t>本项目无二氧化硫、氮氧化物和有机废气的产生及排放，不设废气总量控制指标。</w:t>
            </w:r>
          </w:p>
          <w:p>
            <w:pPr>
              <w:pStyle w:val="105"/>
              <w:spacing w:line="360" w:lineRule="auto"/>
              <w:ind w:firstLine="480" w:firstLineChars="200"/>
              <w:rPr>
                <w:rFonts w:ascii="Times New Roman"/>
                <w:color w:val="auto"/>
              </w:rPr>
            </w:pPr>
            <w:r>
              <w:rPr>
                <w:rFonts w:ascii="Times New Roman" w:cs="Times New Roman"/>
                <w:color w:val="auto"/>
              </w:rPr>
              <w:t>项目垃圾渗滤液和地面冲洗废水拟经收集后用专用运输车运</w:t>
            </w:r>
            <w:r>
              <w:rPr>
                <w:rFonts w:hint="eastAsia" w:ascii="Times New Roman" w:cs="Times New Roman"/>
                <w:color w:val="auto"/>
              </w:rPr>
              <w:t>至</w:t>
            </w:r>
            <w:r>
              <w:rPr>
                <w:rFonts w:hint="eastAsia" w:ascii="Times New Roman"/>
                <w:color w:val="auto"/>
              </w:rPr>
              <w:t>鹰手营子矿区</w:t>
            </w:r>
            <w:r>
              <w:rPr>
                <w:rFonts w:ascii="Times New Roman" w:cs="Times New Roman"/>
                <w:color w:val="auto"/>
              </w:rPr>
              <w:t>垃圾填埋场渗滤液处理站统一进行处理，经厂内的污水处理站处理达标后再排放；水污染物排放总量由区域性调控解决，本项目不再另行分配COD</w:t>
            </w:r>
            <w:r>
              <w:rPr>
                <w:rFonts w:ascii="Times New Roman" w:cs="Times New Roman"/>
                <w:color w:val="auto"/>
                <w:vertAlign w:val="subscript"/>
              </w:rPr>
              <w:t>Cr</w:t>
            </w:r>
            <w:r>
              <w:rPr>
                <w:rFonts w:ascii="Times New Roman" w:cs="Times New Roman"/>
                <w:color w:val="auto"/>
              </w:rPr>
              <w:t>、氨氮等总量控制指标</w:t>
            </w:r>
            <w:r>
              <w:rPr>
                <w:rFonts w:hint="eastAsia" w:ascii="Times New Roman"/>
                <w:color w:val="auto"/>
              </w:rPr>
              <w:t>。</w:t>
            </w:r>
          </w:p>
        </w:tc>
      </w:tr>
    </w:tbl>
    <w:p>
      <w:pPr>
        <w:pStyle w:val="44"/>
        <w:spacing w:line="360" w:lineRule="auto"/>
        <w:ind w:firstLine="480"/>
      </w:pPr>
    </w:p>
    <w:p>
      <w:pPr>
        <w:widowControl/>
        <w:adjustRightInd/>
        <w:spacing w:line="360" w:lineRule="auto"/>
        <w:jc w:val="left"/>
        <w:textAlignment w:val="auto"/>
        <w:rPr>
          <w:b/>
          <w:bCs/>
          <w:sz w:val="28"/>
          <w:szCs w:val="28"/>
        </w:rPr>
      </w:pPr>
      <w:r>
        <w:rPr>
          <w:b/>
          <w:bCs/>
          <w:sz w:val="28"/>
          <w:szCs w:val="28"/>
        </w:rPr>
        <w:br w:type="page"/>
      </w:r>
    </w:p>
    <w:p>
      <w:pPr>
        <w:spacing w:line="360" w:lineRule="auto"/>
        <w:outlineLvl w:val="0"/>
        <w:rPr>
          <w:b/>
          <w:bCs/>
          <w:sz w:val="28"/>
          <w:szCs w:val="28"/>
        </w:rPr>
      </w:pPr>
      <w:r>
        <w:rPr>
          <w:b/>
          <w:bCs/>
          <w:sz w:val="28"/>
          <w:szCs w:val="28"/>
        </w:rPr>
        <w:t>建设项目工程分析</w:t>
      </w:r>
    </w:p>
    <w:tbl>
      <w:tblPr>
        <w:tblStyle w:val="27"/>
        <w:tblW w:w="8789"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8789" w:type="dxa"/>
          </w:tcPr>
          <w:p>
            <w:pPr>
              <w:spacing w:line="360" w:lineRule="auto"/>
              <w:rPr>
                <w:b/>
                <w:bCs/>
                <w:sz w:val="24"/>
                <w:szCs w:val="24"/>
              </w:rPr>
            </w:pPr>
            <w:r>
              <w:rPr>
                <w:b/>
                <w:bCs/>
                <w:sz w:val="24"/>
                <w:szCs w:val="24"/>
              </w:rPr>
              <w:t>工艺流程简述：</w:t>
            </w:r>
          </w:p>
          <w:p>
            <w:pPr>
              <w:pStyle w:val="7"/>
              <w:spacing w:line="360" w:lineRule="auto"/>
              <w:ind w:firstLine="480"/>
              <w:rPr>
                <w:sz w:val="24"/>
              </w:rPr>
            </w:pPr>
            <w:bookmarkStart w:id="17" w:name="_Toc169777293"/>
            <w:r>
              <w:rPr>
                <w:sz w:val="24"/>
              </w:rPr>
              <w:t>本项目污染源分为两大部分，一是工程施工期产生的污染源，二是</w:t>
            </w:r>
            <w:r>
              <w:rPr>
                <w:rFonts w:hint="eastAsia"/>
                <w:sz w:val="24"/>
              </w:rPr>
              <w:t>项目建成后投入使用后产生的污染源</w:t>
            </w:r>
            <w:r>
              <w:rPr>
                <w:sz w:val="24"/>
              </w:rPr>
              <w:t>。</w:t>
            </w:r>
          </w:p>
          <w:p>
            <w:pPr>
              <w:pStyle w:val="7"/>
              <w:spacing w:line="360" w:lineRule="auto"/>
              <w:ind w:firstLine="480"/>
              <w:rPr>
                <w:sz w:val="24"/>
              </w:rPr>
            </w:pPr>
            <w:r>
              <w:rPr>
                <w:rFonts w:hint="eastAsia"/>
                <w:sz w:val="24"/>
              </w:rPr>
              <w:t>一、施工期</w:t>
            </w:r>
            <w:r>
              <w:rPr>
                <w:sz w:val="24"/>
              </w:rPr>
              <w:t>工艺流程及排污节点分别见图4</w:t>
            </w:r>
            <w:r>
              <w:rPr>
                <w:rFonts w:hint="eastAsia"/>
                <w:sz w:val="24"/>
              </w:rPr>
              <w:t>：</w:t>
            </w:r>
          </w:p>
          <w:p>
            <w:pPr>
              <w:pStyle w:val="7"/>
              <w:spacing w:line="360" w:lineRule="auto"/>
              <w:ind w:firstLine="480"/>
              <w:rPr>
                <w:sz w:val="24"/>
              </w:rPr>
            </w:pPr>
            <w:r>
              <w:rPr>
                <w:sz w:val="24"/>
              </w:rPr>
              <mc:AlternateContent>
                <mc:Choice Requires="wps">
                  <w:drawing>
                    <wp:anchor distT="0" distB="0" distL="114300" distR="114300" simplePos="0" relativeHeight="251693056" behindDoc="0" locked="0" layoutInCell="1" allowOverlap="1">
                      <wp:simplePos x="0" y="0"/>
                      <wp:positionH relativeFrom="column">
                        <wp:posOffset>1375410</wp:posOffset>
                      </wp:positionH>
                      <wp:positionV relativeFrom="paragraph">
                        <wp:posOffset>159385</wp:posOffset>
                      </wp:positionV>
                      <wp:extent cx="1167765" cy="297180"/>
                      <wp:effectExtent l="0" t="0" r="0" b="0"/>
                      <wp:wrapNone/>
                      <wp:docPr id="37" name="矩形 23"/>
                      <wp:cNvGraphicFramePr/>
                      <a:graphic xmlns:a="http://schemas.openxmlformats.org/drawingml/2006/main">
                        <a:graphicData uri="http://schemas.microsoft.com/office/word/2010/wordprocessingShape">
                          <wps:wsp>
                            <wps:cNvSpPr/>
                            <wps:spPr>
                              <a:xfrm>
                                <a:off x="0" y="0"/>
                                <a:ext cx="1167765" cy="297180"/>
                              </a:xfrm>
                              <a:prstGeom prst="rect">
                                <a:avLst/>
                              </a:prstGeom>
                              <a:noFill/>
                              <a:ln>
                                <a:noFill/>
                              </a:ln>
                            </wps:spPr>
                            <wps:txbx>
                              <w:txbxContent>
                                <w:p>
                                  <w:pPr>
                                    <w:jc w:val="center"/>
                                    <w:rPr>
                                      <w:szCs w:val="21"/>
                                    </w:rPr>
                                  </w:pPr>
                                  <w:r>
                                    <w:rPr>
                                      <w:rFonts w:hint="eastAsia"/>
                                      <w:szCs w:val="21"/>
                                    </w:rPr>
                                    <w:t>N1、G1</w:t>
                                  </w:r>
                                </w:p>
                              </w:txbxContent>
                            </wps:txbx>
                            <wps:bodyPr lIns="0" tIns="0" rIns="0" bIns="0" upright="1"/>
                          </wps:wsp>
                        </a:graphicData>
                      </a:graphic>
                    </wp:anchor>
                  </w:drawing>
                </mc:Choice>
                <mc:Fallback>
                  <w:pict>
                    <v:rect id="矩形 23" o:spid="_x0000_s1026" o:spt="1" style="position:absolute;left:0pt;margin-left:108.3pt;margin-top:12.55pt;height:23.4pt;width:91.95pt;z-index:251693056;mso-width-relative:page;mso-height-relative:page;" filled="f" stroked="f" coordsize="21600,21600" o:gfxdata="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CbTNQ42gAAAAkBAAAPAAAAAAAAAAEAIAAA&#10;ACIAAABkcnMvZG93bnJldi54bWxQSwECFAAUAAAACACHTuJADKQaOJgBAAAZAwAADgAAAAAAAAAB&#10;ACAAAAApAQAAZHJzL2Uyb0RvYy54bWxQSwUGAAAAAAYABgBZAQAAMwUAAAAA&#10;">
                      <v:fill on="f" focussize="0,0"/>
                      <v:stroke on="f"/>
                      <v:imagedata o:title=""/>
                      <o:lock v:ext="edit" aspectratio="f"/>
                      <v:textbox inset="0mm,0mm,0mm,0mm">
                        <w:txbxContent>
                          <w:p>
                            <w:pPr>
                              <w:jc w:val="center"/>
                              <w:rPr>
                                <w:szCs w:val="21"/>
                              </w:rPr>
                            </w:pPr>
                            <w:r>
                              <w:rPr>
                                <w:rFonts w:hint="eastAsia"/>
                                <w:szCs w:val="21"/>
                              </w:rPr>
                              <w:t>N1、G1</w:t>
                            </w:r>
                          </w:p>
                        </w:txbxContent>
                      </v:textbox>
                    </v:rect>
                  </w:pict>
                </mc:Fallback>
              </mc:AlternateContent>
            </w:r>
          </w:p>
          <w:p>
            <w:pPr>
              <w:pStyle w:val="7"/>
              <w:spacing w:line="360" w:lineRule="auto"/>
              <w:ind w:firstLine="480"/>
              <w:rPr>
                <w:sz w:val="24"/>
              </w:rPr>
            </w:pPr>
            <w:r>
              <w:rPr>
                <w:sz w:val="24"/>
              </w:rPr>
              <mc:AlternateContent>
                <mc:Choice Requires="wps">
                  <w:drawing>
                    <wp:anchor distT="0" distB="0" distL="114300" distR="114300" simplePos="0" relativeHeight="251689984" behindDoc="0" locked="0" layoutInCell="1" allowOverlap="1">
                      <wp:simplePos x="0" y="0"/>
                      <wp:positionH relativeFrom="column">
                        <wp:posOffset>2976245</wp:posOffset>
                      </wp:positionH>
                      <wp:positionV relativeFrom="paragraph">
                        <wp:posOffset>3175</wp:posOffset>
                      </wp:positionV>
                      <wp:extent cx="457200" cy="297180"/>
                      <wp:effectExtent l="0" t="0" r="0" b="0"/>
                      <wp:wrapNone/>
                      <wp:docPr id="36" name="矩形 33"/>
                      <wp:cNvGraphicFramePr/>
                      <a:graphic xmlns:a="http://schemas.openxmlformats.org/drawingml/2006/main">
                        <a:graphicData uri="http://schemas.microsoft.com/office/word/2010/wordprocessingShape">
                          <wps:wsp>
                            <wps:cNvSpPr/>
                            <wps:spPr>
                              <a:xfrm>
                                <a:off x="0" y="0"/>
                                <a:ext cx="457200" cy="297180"/>
                              </a:xfrm>
                              <a:prstGeom prst="rect">
                                <a:avLst/>
                              </a:prstGeom>
                              <a:noFill/>
                              <a:ln>
                                <a:noFill/>
                              </a:ln>
                            </wps:spPr>
                            <wps:txbx>
                              <w:txbxContent>
                                <w:p>
                                  <w:pPr>
                                    <w:jc w:val="center"/>
                                    <w:rPr>
                                      <w:szCs w:val="21"/>
                                    </w:rPr>
                                  </w:pPr>
                                  <w:r>
                                    <w:rPr>
                                      <w:rFonts w:hint="eastAsia"/>
                                      <w:szCs w:val="21"/>
                                    </w:rPr>
                                    <w:t>N1</w:t>
                                  </w:r>
                                </w:p>
                              </w:txbxContent>
                            </wps:txbx>
                            <wps:bodyPr lIns="0" tIns="0" rIns="0" bIns="0" upright="1"/>
                          </wps:wsp>
                        </a:graphicData>
                      </a:graphic>
                    </wp:anchor>
                  </w:drawing>
                </mc:Choice>
                <mc:Fallback>
                  <w:pict>
                    <v:rect id="矩形 33" o:spid="_x0000_s1026" o:spt="1" style="position:absolute;left:0pt;margin-left:234.35pt;margin-top:0.25pt;height:23.4pt;width:36pt;z-index:251689984;mso-width-relative:page;mso-height-relative:page;" filled="f" stroked="f" coordsize="21600,21600" o:gfxdata="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FrggW3WAAAABwEAAA8AAAAAAAAAAQAgAAAAIgAAAGRy&#10;cy9kb3ducmV2LnhtbFBLAQIUABQAAAAIAIdO4kDGqnYglQEAABgDAAAOAAAAAAAAAAEAIAAAACUB&#10;AABkcnMvZTJvRG9jLnhtbFBLBQYAAAAABgAGAFkBAAAsBQAAAAA=&#10;">
                      <v:fill on="f" focussize="0,0"/>
                      <v:stroke on="f"/>
                      <v:imagedata o:title=""/>
                      <o:lock v:ext="edit" aspectratio="f"/>
                      <v:textbox inset="0mm,0mm,0mm,0mm">
                        <w:txbxContent>
                          <w:p>
                            <w:pPr>
                              <w:jc w:val="center"/>
                              <w:rPr>
                                <w:szCs w:val="21"/>
                              </w:rPr>
                            </w:pPr>
                            <w:r>
                              <w:rPr>
                                <w:rFonts w:hint="eastAsia"/>
                                <w:szCs w:val="21"/>
                              </w:rPr>
                              <w:t>N1</w:t>
                            </w:r>
                          </w:p>
                        </w:txbxContent>
                      </v:textbox>
                    </v:rect>
                  </w:pict>
                </mc:Fallback>
              </mc:AlternateContent>
            </w:r>
            <w:r>
              <w:rPr>
                <w:sz w:val="24"/>
              </w:rPr>
              <mc:AlternateContent>
                <mc:Choice Requires="wps">
                  <w:drawing>
                    <wp:anchor distT="0" distB="0" distL="114300" distR="114300" simplePos="0" relativeHeight="251695104" behindDoc="0" locked="0" layoutInCell="1" allowOverlap="1">
                      <wp:simplePos x="0" y="0"/>
                      <wp:positionH relativeFrom="column">
                        <wp:posOffset>1953260</wp:posOffset>
                      </wp:positionH>
                      <wp:positionV relativeFrom="paragraph">
                        <wp:posOffset>3175</wp:posOffset>
                      </wp:positionV>
                      <wp:extent cx="635" cy="241300"/>
                      <wp:effectExtent l="38100" t="19050" r="56515" b="6350"/>
                      <wp:wrapNone/>
                      <wp:docPr id="34" name="直接连接符 29"/>
                      <wp:cNvGraphicFramePr/>
                      <a:graphic xmlns:a="http://schemas.openxmlformats.org/drawingml/2006/main">
                        <a:graphicData uri="http://schemas.microsoft.com/office/word/2010/wordprocessingShape">
                          <wps:wsp>
                            <wps:cNvCnPr/>
                            <wps:spPr>
                              <a:xfrm flipV="1">
                                <a:off x="0" y="0"/>
                                <a:ext cx="635" cy="241300"/>
                              </a:xfrm>
                              <a:prstGeom prst="line">
                                <a:avLst/>
                              </a:prstGeom>
                              <a:ln w="9525" cap="flat" cmpd="sng">
                                <a:solidFill>
                                  <a:srgbClr val="000000"/>
                                </a:solidFill>
                                <a:prstDash val="dash"/>
                                <a:headEnd type="none" w="med" len="med"/>
                                <a:tailEnd type="triangle" w="sm" len="lg"/>
                              </a:ln>
                            </wps:spPr>
                            <wps:bodyPr/>
                          </wps:wsp>
                        </a:graphicData>
                      </a:graphic>
                    </wp:anchor>
                  </w:drawing>
                </mc:Choice>
                <mc:Fallback>
                  <w:pict>
                    <v:line id="直接连接符 29" o:spid="_x0000_s1026" o:spt="20" style="position:absolute;left:0pt;flip:y;margin-left:153.8pt;margin-top:0.25pt;height:19pt;width:0.05pt;z-index:251695104;mso-width-relative:page;mso-height-relative:page;" filled="f" stroked="t" coordsize="21600,21600" o:gfxdata="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KIkXe0gAAAAcB&#10;AAAPAAAAAAAAAAEAIAAAACIAAABkcnMvZG93bnJldi54bWxQSwECFAAUAAAACACHTuJAzzZ3tegB&#10;AACYAwAADgAAAAAAAAABACAAAAAhAQAAZHJzL2Uyb0RvYy54bWxQSwUGAAAAAAYABgBZAQAAewUA&#10;AAAA&#10;">
                      <v:fill on="f" focussize="0,0"/>
                      <v:stroke color="#000000" joinstyle="round" dashstyle="dash" endarrow="block" endarrowwidth="narrow" endarrowlength="long"/>
                      <v:imagedata o:title=""/>
                      <o:lock v:ext="edit" aspectratio="f"/>
                    </v:line>
                  </w:pict>
                </mc:Fallback>
              </mc:AlternateContent>
            </w:r>
            <w:r>
              <w:rPr>
                <w:sz w:val="24"/>
              </w:rPr>
              <mc:AlternateContent>
                <mc:Choice Requires="wps">
                  <w:drawing>
                    <wp:anchor distT="0" distB="0" distL="114300" distR="114300" simplePos="0" relativeHeight="251694080" behindDoc="0" locked="0" layoutInCell="1" allowOverlap="1">
                      <wp:simplePos x="0" y="0"/>
                      <wp:positionH relativeFrom="column">
                        <wp:posOffset>1468120</wp:posOffset>
                      </wp:positionH>
                      <wp:positionV relativeFrom="paragraph">
                        <wp:posOffset>263525</wp:posOffset>
                      </wp:positionV>
                      <wp:extent cx="831850" cy="0"/>
                      <wp:effectExtent l="0" t="0" r="6350" b="0"/>
                      <wp:wrapNone/>
                      <wp:docPr id="33" name="直接连接符 30"/>
                      <wp:cNvGraphicFramePr/>
                      <a:graphic xmlns:a="http://schemas.openxmlformats.org/drawingml/2006/main">
                        <a:graphicData uri="http://schemas.microsoft.com/office/word/2010/wordprocessingShape">
                          <wps:wsp>
                            <wps:cNvCnPr/>
                            <wps:spPr>
                              <a:xfrm>
                                <a:off x="0" y="0"/>
                                <a:ext cx="83185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接连接符 30" o:spid="_x0000_s1026" o:spt="20" style="position:absolute;left:0pt;margin-left:115.6pt;margin-top:20.75pt;height:0pt;width:65.5pt;z-index:251694080;mso-width-relative:page;mso-height-relative:page;" filled="f" stroked="t" coordsize="21600,21600" o:gfxdata="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smYbb1gAAAAkBAAAPAAAAAAAAAAEAIAAAACIAAABk&#10;cnMvZG93bnJldi54bWxQSwECFAAUAAAACACHTuJAsCnEUc8BAACLAwAADgAAAAAAAAABACAAAAAl&#10;AQAAZHJzL2Uyb0RvYy54bWxQSwUGAAAAAAYABgBZAQAAZgUAAAAA&#10;">
                      <v:fill on="f" focussize="0,0"/>
                      <v:stroke color="#000000" joinstyle="round"/>
                      <v:imagedata o:title=""/>
                      <o:lock v:ext="edit" aspectratio="f"/>
                    </v:line>
                  </w:pict>
                </mc:Fallback>
              </mc:AlternateContent>
            </w:r>
            <w:r>
              <w:rPr>
                <w:sz w:val="24"/>
              </w:rPr>
              <mc:AlternateContent>
                <mc:Choice Requires="wps">
                  <w:drawing>
                    <wp:anchor distT="0" distB="0" distL="114300" distR="114300" simplePos="0" relativeHeight="251688960" behindDoc="0" locked="0" layoutInCell="1" allowOverlap="1">
                      <wp:simplePos x="0" y="0"/>
                      <wp:positionH relativeFrom="column">
                        <wp:posOffset>3229610</wp:posOffset>
                      </wp:positionH>
                      <wp:positionV relativeFrom="paragraph">
                        <wp:posOffset>260350</wp:posOffset>
                      </wp:positionV>
                      <wp:extent cx="635" cy="241300"/>
                      <wp:effectExtent l="38100" t="19050" r="56515" b="6350"/>
                      <wp:wrapNone/>
                      <wp:docPr id="31" name="直接连接符 31"/>
                      <wp:cNvGraphicFramePr/>
                      <a:graphic xmlns:a="http://schemas.openxmlformats.org/drawingml/2006/main">
                        <a:graphicData uri="http://schemas.microsoft.com/office/word/2010/wordprocessingShape">
                          <wps:wsp>
                            <wps:cNvCnPr/>
                            <wps:spPr>
                              <a:xfrm flipV="1">
                                <a:off x="0" y="0"/>
                                <a:ext cx="635" cy="241300"/>
                              </a:xfrm>
                              <a:prstGeom prst="line">
                                <a:avLst/>
                              </a:prstGeom>
                              <a:ln w="9525" cap="flat" cmpd="sng">
                                <a:solidFill>
                                  <a:srgbClr val="000000"/>
                                </a:solidFill>
                                <a:prstDash val="dash"/>
                                <a:headEnd type="none" w="med" len="med"/>
                                <a:tailEnd type="triangle" w="sm" len="lg"/>
                              </a:ln>
                            </wps:spPr>
                            <wps:bodyPr/>
                          </wps:wsp>
                        </a:graphicData>
                      </a:graphic>
                    </wp:anchor>
                  </w:drawing>
                </mc:Choice>
                <mc:Fallback>
                  <w:pict>
                    <v:line id="_x0000_s1026" o:spid="_x0000_s1026" o:spt="20" style="position:absolute;left:0pt;flip:y;margin-left:254.3pt;margin-top:20.5pt;height:19pt;width:0.05pt;z-index:251688960;mso-width-relative:page;mso-height-relative:page;" filled="f" stroked="t" coordsize="21600,21600" o:gfxdata="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IIWW11gAA&#10;AAkBAAAPAAAAAAAAAAEAIAAAACIAAABkcnMvZG93bnJldi54bWxQSwECFAAUAAAACACHTuJAqPJ2&#10;9ecBAACYAwAADgAAAAAAAAABACAAAAAlAQAAZHJzL2Uyb0RvYy54bWxQSwUGAAAAAAYABgBZAQAA&#10;fgUAAAAA&#10;">
                      <v:fill on="f" focussize="0,0"/>
                      <v:stroke color="#000000" joinstyle="round" dashstyle="dash" endarrow="block" endarrowwidth="narrow" endarrowlength="long"/>
                      <v:imagedata o:title=""/>
                      <o:lock v:ext="edit" aspectratio="f"/>
                    </v:line>
                  </w:pict>
                </mc:Fallback>
              </mc:AlternateContent>
            </w:r>
            <w:r>
              <w:rPr>
                <w:sz w:val="24"/>
              </w:rPr>
              <mc:AlternateContent>
                <mc:Choice Requires="wps">
                  <w:drawing>
                    <wp:anchor distT="0" distB="0" distL="114300" distR="114300" simplePos="0" relativeHeight="251692032" behindDoc="0" locked="0" layoutInCell="1" allowOverlap="1">
                      <wp:simplePos x="0" y="0"/>
                      <wp:positionH relativeFrom="column">
                        <wp:posOffset>2293620</wp:posOffset>
                      </wp:positionH>
                      <wp:positionV relativeFrom="paragraph">
                        <wp:posOffset>260985</wp:posOffset>
                      </wp:positionV>
                      <wp:extent cx="635" cy="241300"/>
                      <wp:effectExtent l="38100" t="19050" r="56515" b="6350"/>
                      <wp:wrapNone/>
                      <wp:docPr id="32" name="直接连接符 32"/>
                      <wp:cNvGraphicFramePr/>
                      <a:graphic xmlns:a="http://schemas.openxmlformats.org/drawingml/2006/main">
                        <a:graphicData uri="http://schemas.microsoft.com/office/word/2010/wordprocessingShape">
                          <wps:wsp>
                            <wps:cNvCnPr/>
                            <wps:spPr>
                              <a:xfrm flipV="1">
                                <a:off x="0" y="0"/>
                                <a:ext cx="635" cy="241300"/>
                              </a:xfrm>
                              <a:prstGeom prst="line">
                                <a:avLst/>
                              </a:prstGeom>
                              <a:ln w="9525" cap="flat" cmpd="sng">
                                <a:solidFill>
                                  <a:srgbClr val="000000"/>
                                </a:solidFill>
                                <a:prstDash val="dash"/>
                                <a:headEnd type="none" w="med" len="med"/>
                                <a:tailEnd type="triangle" w="sm" len="lg"/>
                              </a:ln>
                            </wps:spPr>
                            <wps:bodyPr/>
                          </wps:wsp>
                        </a:graphicData>
                      </a:graphic>
                    </wp:anchor>
                  </w:drawing>
                </mc:Choice>
                <mc:Fallback>
                  <w:pict>
                    <v:line id="_x0000_s1026" o:spid="_x0000_s1026" o:spt="20" style="position:absolute;left:0pt;flip:y;margin-left:180.6pt;margin-top:20.55pt;height:19pt;width:0.05pt;z-index:251692032;mso-width-relative:page;mso-height-relative:page;" filled="f" stroked="t" coordsize="21600,21600" o:gfxdata="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Etr/OLVAAAA&#10;CQEAAA8AAAAAAAAAAQAgAAAAIgAAAGRycy9kb3ducmV2LnhtbFBLAQIUABQAAAAIAIdO4kBOVctu&#10;5wEAAJgDAAAOAAAAAAAAAAEAIAAAACQBAABkcnMvZTJvRG9jLnhtbFBLBQYAAAAABgAGAFkBAAB9&#10;BQAAAAA=&#10;">
                      <v:fill on="f" focussize="0,0"/>
                      <v:stroke color="#000000" joinstyle="round" dashstyle="dash" endarrow="block" endarrowwidth="narrow" endarrowlength="long"/>
                      <v:imagedata o:title=""/>
                      <o:lock v:ext="edit" aspectratio="f"/>
                    </v:line>
                  </w:pict>
                </mc:Fallback>
              </mc:AlternateContent>
            </w:r>
            <w:r>
              <w:rPr>
                <w:sz w:val="24"/>
              </w:rPr>
              <mc:AlternateContent>
                <mc:Choice Requires="wps">
                  <w:drawing>
                    <wp:anchor distT="0" distB="0" distL="114300" distR="114300" simplePos="0" relativeHeight="251691008" behindDoc="0" locked="0" layoutInCell="1" allowOverlap="1">
                      <wp:simplePos x="0" y="0"/>
                      <wp:positionH relativeFrom="column">
                        <wp:posOffset>1471295</wp:posOffset>
                      </wp:positionH>
                      <wp:positionV relativeFrom="paragraph">
                        <wp:posOffset>276225</wp:posOffset>
                      </wp:positionV>
                      <wp:extent cx="635" cy="241300"/>
                      <wp:effectExtent l="38100" t="19050" r="56515" b="6350"/>
                      <wp:wrapNone/>
                      <wp:docPr id="30" name="直接连接符 24"/>
                      <wp:cNvGraphicFramePr/>
                      <a:graphic xmlns:a="http://schemas.openxmlformats.org/drawingml/2006/main">
                        <a:graphicData uri="http://schemas.microsoft.com/office/word/2010/wordprocessingShape">
                          <wps:wsp>
                            <wps:cNvCnPr/>
                            <wps:spPr>
                              <a:xfrm flipV="1">
                                <a:off x="0" y="0"/>
                                <a:ext cx="635" cy="241300"/>
                              </a:xfrm>
                              <a:prstGeom prst="line">
                                <a:avLst/>
                              </a:prstGeom>
                              <a:ln w="9525" cap="flat" cmpd="sng">
                                <a:solidFill>
                                  <a:srgbClr val="000000"/>
                                </a:solidFill>
                                <a:prstDash val="dash"/>
                                <a:headEnd type="none" w="med" len="med"/>
                                <a:tailEnd type="triangle" w="sm" len="lg"/>
                              </a:ln>
                            </wps:spPr>
                            <wps:bodyPr/>
                          </wps:wsp>
                        </a:graphicData>
                      </a:graphic>
                    </wp:anchor>
                  </w:drawing>
                </mc:Choice>
                <mc:Fallback>
                  <w:pict>
                    <v:line id="直接连接符 24" o:spid="_x0000_s1026" o:spt="20" style="position:absolute;left:0pt;flip:y;margin-left:115.85pt;margin-top:21.75pt;height:19pt;width:0.05pt;z-index:251691008;mso-width-relative:page;mso-height-relative:page;" filled="f" stroked="t" coordsize="21600,21600" o:gfxdata="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eM3r8dYA&#10;AAAJAQAADwAAAAAAAAABACAAAAAiAAAAZHJzL2Rvd25yZXYueG1sUEsBAhQAFAAAAAgAh07iQLfy&#10;d/boAQAAmAMAAA4AAAAAAAAAAQAgAAAAJQEAAGRycy9lMm9Eb2MueG1sUEsFBgAAAAAGAAYAWQEA&#10;AH8FAAAAAA==&#10;">
                      <v:fill on="f" focussize="0,0"/>
                      <v:stroke color="#000000" joinstyle="round" dashstyle="dash" endarrow="block" endarrowwidth="narrow" endarrowlength="long"/>
                      <v:imagedata o:title=""/>
                      <o:lock v:ext="edit" aspectratio="f"/>
                    </v:line>
                  </w:pict>
                </mc:Fallback>
              </mc:AlternateContent>
            </w:r>
          </w:p>
          <w:p>
            <w:pPr>
              <w:pStyle w:val="7"/>
              <w:spacing w:line="360" w:lineRule="auto"/>
              <w:ind w:firstLine="480"/>
              <w:rPr>
                <w:sz w:val="24"/>
              </w:rPr>
            </w:pPr>
            <w:r>
              <w:rPr>
                <w:sz w:val="24"/>
              </w:rPr>
              <mc:AlternateContent>
                <mc:Choice Requires="wpg">
                  <w:drawing>
                    <wp:anchor distT="0" distB="0" distL="114300" distR="114300" simplePos="0" relativeHeight="251687936" behindDoc="0" locked="0" layoutInCell="1" allowOverlap="1">
                      <wp:simplePos x="0" y="0"/>
                      <wp:positionH relativeFrom="column">
                        <wp:posOffset>265430</wp:posOffset>
                      </wp:positionH>
                      <wp:positionV relativeFrom="paragraph">
                        <wp:posOffset>173990</wp:posOffset>
                      </wp:positionV>
                      <wp:extent cx="4113530" cy="280035"/>
                      <wp:effectExtent l="10795" t="10160" r="9525" b="5080"/>
                      <wp:wrapNone/>
                      <wp:docPr id="14" name="组合 3"/>
                      <wp:cNvGraphicFramePr/>
                      <a:graphic xmlns:a="http://schemas.openxmlformats.org/drawingml/2006/main">
                        <a:graphicData uri="http://schemas.microsoft.com/office/word/2010/wordprocessingGroup">
                          <wpg:wgp>
                            <wpg:cNvGrpSpPr/>
                            <wpg:grpSpPr>
                              <a:xfrm>
                                <a:off x="0" y="0"/>
                                <a:ext cx="4113530" cy="280035"/>
                                <a:chOff x="0" y="0"/>
                                <a:chExt cx="6478" cy="441"/>
                              </a:xfrm>
                            </wpg:grpSpPr>
                            <wps:wsp>
                              <wps:cNvPr id="15" name="矩形 4"/>
                              <wps:cNvSpPr>
                                <a:spLocks noChangeArrowheads="1"/>
                              </wps:cNvSpPr>
                              <wps:spPr bwMode="auto">
                                <a:xfrm>
                                  <a:off x="0" y="27"/>
                                  <a:ext cx="969" cy="414"/>
                                </a:xfrm>
                                <a:prstGeom prst="rect">
                                  <a:avLst/>
                                </a:prstGeom>
                                <a:solidFill>
                                  <a:srgbClr val="FFFFFF"/>
                                </a:solidFill>
                                <a:ln w="9525">
                                  <a:solidFill>
                                    <a:srgbClr val="000000"/>
                                  </a:solidFill>
                                  <a:miter lim="800000"/>
                                </a:ln>
                              </wps:spPr>
                              <wps:txbx>
                                <w:txbxContent>
                                  <w:p>
                                    <w:pPr>
                                      <w:spacing w:line="340" w:lineRule="exact"/>
                                      <w:jc w:val="center"/>
                                      <w:rPr>
                                        <w:szCs w:val="21"/>
                                      </w:rPr>
                                    </w:pPr>
                                    <w:r>
                                      <w:rPr>
                                        <w:rFonts w:hint="eastAsia"/>
                                        <w:szCs w:val="21"/>
                                      </w:rPr>
                                      <w:t>基础工程</w:t>
                                    </w:r>
                                  </w:p>
                                </w:txbxContent>
                              </wps:txbx>
                              <wps:bodyPr rot="0" vert="horz" wrap="square" lIns="0" tIns="0" rIns="0" bIns="0" anchor="t" anchorCtr="0" upright="1">
                                <a:noAutofit/>
                              </wps:bodyPr>
                            </wps:wsp>
                            <wps:wsp>
                              <wps:cNvPr id="16" name="直接连接符 5"/>
                              <wps:cNvCnPr>
                                <a:cxnSpLocks noChangeShapeType="1"/>
                              </wps:cNvCnPr>
                              <wps:spPr bwMode="auto">
                                <a:xfrm>
                                  <a:off x="975" y="231"/>
                                  <a:ext cx="437" cy="0"/>
                                </a:xfrm>
                                <a:prstGeom prst="line">
                                  <a:avLst/>
                                </a:prstGeom>
                                <a:noFill/>
                                <a:ln w="9525">
                                  <a:solidFill>
                                    <a:srgbClr val="000000"/>
                                  </a:solidFill>
                                  <a:round/>
                                  <a:tailEnd type="triangle" w="sm" len="lg"/>
                                </a:ln>
                              </wps:spPr>
                              <wps:bodyPr/>
                            </wps:wsp>
                            <wps:wsp>
                              <wps:cNvPr id="17" name="矩形 6"/>
                              <wps:cNvSpPr>
                                <a:spLocks noChangeArrowheads="1"/>
                              </wps:cNvSpPr>
                              <wps:spPr bwMode="auto">
                                <a:xfrm>
                                  <a:off x="1407" y="24"/>
                                  <a:ext cx="913" cy="414"/>
                                </a:xfrm>
                                <a:prstGeom prst="rect">
                                  <a:avLst/>
                                </a:prstGeom>
                                <a:solidFill>
                                  <a:srgbClr val="FFFFFF"/>
                                </a:solidFill>
                                <a:ln w="9525">
                                  <a:solidFill>
                                    <a:srgbClr val="000000"/>
                                  </a:solidFill>
                                  <a:miter lim="800000"/>
                                </a:ln>
                              </wps:spPr>
                              <wps:txbx>
                                <w:txbxContent>
                                  <w:p>
                                    <w:pPr>
                                      <w:spacing w:line="340" w:lineRule="exact"/>
                                      <w:jc w:val="center"/>
                                      <w:rPr>
                                        <w:szCs w:val="21"/>
                                      </w:rPr>
                                    </w:pPr>
                                    <w:r>
                                      <w:rPr>
                                        <w:rFonts w:hint="eastAsia"/>
                                        <w:szCs w:val="21"/>
                                      </w:rPr>
                                      <w:t>主体工程</w:t>
                                    </w:r>
                                  </w:p>
                                </w:txbxContent>
                              </wps:txbx>
                              <wps:bodyPr rot="0" vert="horz" wrap="square" lIns="0" tIns="0" rIns="0" bIns="0" anchor="t" anchorCtr="0" upright="1">
                                <a:noAutofit/>
                              </wps:bodyPr>
                            </wps:wsp>
                            <wps:wsp>
                              <wps:cNvPr id="18" name="直接连接符 7"/>
                              <wps:cNvCnPr>
                                <a:cxnSpLocks noChangeShapeType="1"/>
                              </wps:cNvCnPr>
                              <wps:spPr bwMode="auto">
                                <a:xfrm>
                                  <a:off x="2325" y="231"/>
                                  <a:ext cx="437" cy="0"/>
                                </a:xfrm>
                                <a:prstGeom prst="line">
                                  <a:avLst/>
                                </a:prstGeom>
                                <a:noFill/>
                                <a:ln w="9525">
                                  <a:solidFill>
                                    <a:srgbClr val="000000"/>
                                  </a:solidFill>
                                  <a:round/>
                                  <a:tailEnd type="triangle" w="sm" len="lg"/>
                                </a:ln>
                              </wps:spPr>
                              <wps:bodyPr/>
                            </wps:wsp>
                            <wps:wsp>
                              <wps:cNvPr id="19" name="矩形 8"/>
                              <wps:cNvSpPr>
                                <a:spLocks noChangeArrowheads="1"/>
                              </wps:cNvSpPr>
                              <wps:spPr bwMode="auto">
                                <a:xfrm>
                                  <a:off x="2760" y="15"/>
                                  <a:ext cx="913" cy="414"/>
                                </a:xfrm>
                                <a:prstGeom prst="rect">
                                  <a:avLst/>
                                </a:prstGeom>
                                <a:solidFill>
                                  <a:srgbClr val="FFFFFF"/>
                                </a:solidFill>
                                <a:ln w="9525">
                                  <a:solidFill>
                                    <a:srgbClr val="000000"/>
                                  </a:solidFill>
                                  <a:miter lim="800000"/>
                                </a:ln>
                              </wps:spPr>
                              <wps:txbx>
                                <w:txbxContent>
                                  <w:p>
                                    <w:pPr>
                                      <w:spacing w:line="340" w:lineRule="exact"/>
                                      <w:jc w:val="center"/>
                                      <w:rPr>
                                        <w:szCs w:val="21"/>
                                      </w:rPr>
                                    </w:pPr>
                                    <w:r>
                                      <w:rPr>
                                        <w:rFonts w:hint="eastAsia"/>
                                        <w:szCs w:val="21"/>
                                      </w:rPr>
                                      <w:t>装饰工程</w:t>
                                    </w:r>
                                  </w:p>
                                </w:txbxContent>
                              </wps:txbx>
                              <wps:bodyPr rot="0" vert="horz" wrap="square" lIns="0" tIns="0" rIns="0" bIns="0" anchor="t" anchorCtr="0" upright="1">
                                <a:noAutofit/>
                              </wps:bodyPr>
                            </wps:wsp>
                            <wps:wsp>
                              <wps:cNvPr id="22" name="直接连接符 14"/>
                              <wps:cNvCnPr>
                                <a:cxnSpLocks noChangeShapeType="1"/>
                              </wps:cNvCnPr>
                              <wps:spPr bwMode="auto">
                                <a:xfrm>
                                  <a:off x="3690" y="216"/>
                                  <a:ext cx="525" cy="0"/>
                                </a:xfrm>
                                <a:prstGeom prst="line">
                                  <a:avLst/>
                                </a:prstGeom>
                                <a:noFill/>
                                <a:ln w="9525">
                                  <a:solidFill>
                                    <a:srgbClr val="000000"/>
                                  </a:solidFill>
                                  <a:round/>
                                  <a:tailEnd type="triangle" w="sm" len="lg"/>
                                </a:ln>
                              </wps:spPr>
                              <wps:bodyPr/>
                            </wps:wsp>
                            <wps:wsp>
                              <wps:cNvPr id="23" name="矩形 15"/>
                              <wps:cNvSpPr>
                                <a:spLocks noChangeArrowheads="1"/>
                              </wps:cNvSpPr>
                              <wps:spPr bwMode="auto">
                                <a:xfrm>
                                  <a:off x="4200" y="15"/>
                                  <a:ext cx="913" cy="414"/>
                                </a:xfrm>
                                <a:prstGeom prst="rect">
                                  <a:avLst/>
                                </a:prstGeom>
                                <a:solidFill>
                                  <a:srgbClr val="FFFFFF"/>
                                </a:solidFill>
                                <a:ln w="9525">
                                  <a:solidFill>
                                    <a:srgbClr val="000000"/>
                                  </a:solidFill>
                                  <a:miter lim="800000"/>
                                </a:ln>
                              </wps:spPr>
                              <wps:txbx>
                                <w:txbxContent>
                                  <w:p>
                                    <w:pPr>
                                      <w:spacing w:line="340" w:lineRule="exact"/>
                                      <w:jc w:val="center"/>
                                      <w:rPr>
                                        <w:szCs w:val="21"/>
                                      </w:rPr>
                                    </w:pPr>
                                    <w:r>
                                      <w:rPr>
                                        <w:rFonts w:hint="eastAsia"/>
                                        <w:szCs w:val="21"/>
                                      </w:rPr>
                                      <w:t>设备安装</w:t>
                                    </w:r>
                                  </w:p>
                                </w:txbxContent>
                              </wps:txbx>
                              <wps:bodyPr rot="0" vert="horz" wrap="square" lIns="0" tIns="0" rIns="0" bIns="0" anchor="t" anchorCtr="0" upright="1">
                                <a:noAutofit/>
                              </wps:bodyPr>
                            </wps:wsp>
                            <wps:wsp>
                              <wps:cNvPr id="24" name="直接连接符 16"/>
                              <wps:cNvCnPr>
                                <a:cxnSpLocks noChangeShapeType="1"/>
                              </wps:cNvCnPr>
                              <wps:spPr bwMode="auto">
                                <a:xfrm>
                                  <a:off x="5140" y="216"/>
                                  <a:ext cx="437" cy="0"/>
                                </a:xfrm>
                                <a:prstGeom prst="line">
                                  <a:avLst/>
                                </a:prstGeom>
                                <a:noFill/>
                                <a:ln w="9525">
                                  <a:solidFill>
                                    <a:srgbClr val="000000"/>
                                  </a:solidFill>
                                  <a:round/>
                                  <a:tailEnd type="triangle" w="sm" len="lg"/>
                                </a:ln>
                              </wps:spPr>
                              <wps:bodyPr/>
                            </wps:wsp>
                            <wps:wsp>
                              <wps:cNvPr id="29" name="矩形 17"/>
                              <wps:cNvSpPr>
                                <a:spLocks noChangeArrowheads="1"/>
                              </wps:cNvSpPr>
                              <wps:spPr bwMode="auto">
                                <a:xfrm>
                                  <a:off x="5565" y="0"/>
                                  <a:ext cx="913" cy="414"/>
                                </a:xfrm>
                                <a:prstGeom prst="rect">
                                  <a:avLst/>
                                </a:prstGeom>
                                <a:solidFill>
                                  <a:srgbClr val="FFFFFF"/>
                                </a:solidFill>
                                <a:ln w="9525">
                                  <a:solidFill>
                                    <a:srgbClr val="000000"/>
                                  </a:solidFill>
                                  <a:miter lim="800000"/>
                                </a:ln>
                              </wps:spPr>
                              <wps:txbx>
                                <w:txbxContent>
                                  <w:p>
                                    <w:pPr>
                                      <w:spacing w:line="340" w:lineRule="exact"/>
                                      <w:jc w:val="center"/>
                                      <w:rPr>
                                        <w:szCs w:val="21"/>
                                      </w:rPr>
                                    </w:pPr>
                                    <w:r>
                                      <w:rPr>
                                        <w:rFonts w:hint="eastAsia"/>
                                        <w:szCs w:val="21"/>
                                      </w:rPr>
                                      <w:t>工程验收</w:t>
                                    </w:r>
                                  </w:p>
                                </w:txbxContent>
                              </wps:txbx>
                              <wps:bodyPr rot="0" vert="horz" wrap="square" lIns="0" tIns="0" rIns="0" bIns="0" anchor="t" anchorCtr="0" upright="1">
                                <a:noAutofit/>
                              </wps:bodyPr>
                            </wps:wsp>
                          </wpg:wgp>
                        </a:graphicData>
                      </a:graphic>
                    </wp:anchor>
                  </w:drawing>
                </mc:Choice>
                <mc:Fallback>
                  <w:pict>
                    <v:group id="组合 3" o:spid="_x0000_s1026" o:spt="203" style="position:absolute;left:0pt;margin-left:20.9pt;margin-top:13.7pt;height:22.05pt;width:323.9pt;z-index:251687936;mso-width-relative:page;mso-height-relative:page;" coordsize="6478,441" o:gfxdata="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">
                      <o:lock v:ext="edit" aspectratio="f"/>
                      <v:rect id="矩形 4" o:spid="_x0000_s1026" o:spt="1" style="position:absolute;left:0;top:27;height:414;width:969;" fillcolor="#FFFFFF" filled="t" stroked="t" coordsize="21600,21600" o:gfxdata="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M2K/&#10;AAAA2w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0mm,0mm,0mm,0mm">
                          <w:txbxContent>
                            <w:p>
                              <w:pPr>
                                <w:spacing w:line="340" w:lineRule="exact"/>
                                <w:jc w:val="center"/>
                                <w:rPr>
                                  <w:szCs w:val="21"/>
                                </w:rPr>
                              </w:pPr>
                              <w:r>
                                <w:rPr>
                                  <w:rFonts w:hint="eastAsia"/>
                                  <w:szCs w:val="21"/>
                                </w:rPr>
                                <w:t>基础工程</w:t>
                              </w:r>
                            </w:p>
                          </w:txbxContent>
                        </v:textbox>
                      </v:rect>
                      <v:line id="直接连接符 5" o:spid="_x0000_s1026" o:spt="20" style="position:absolute;left:975;top:231;height:0;width:437;" filled="f" stroked="t" coordsize="21600,21600" o:gfxdata="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WnbtrsAAADb&#10;AAAADwAAAAAAAAABACAAAAAiAAAAZHJzL2Rvd25yZXYueG1sUEsBAhQAFAAAAAgAh07iQDMvBZ47&#10;AAAAOQAAABAAAAAAAAAAAQAgAAAACgEAAGRycy9zaGFwZXhtbC54bWxQSwUGAAAAAAYABgBbAQAA&#10;tAMAAAAA&#10;">
                        <v:fill on="f" focussize="0,0"/>
                        <v:stroke color="#000000" joinstyle="round" endarrow="block" endarrowwidth="narrow" endarrowlength="long"/>
                        <v:imagedata o:title=""/>
                        <o:lock v:ext="edit" aspectratio="f"/>
                      </v:line>
                      <v:rect id="矩形 6" o:spid="_x0000_s1026" o:spt="1" style="position:absolute;left:1407;top:24;height:414;width:913;" fillcolor="#FFFFFF" filled="t" stroked="t" coordsize="21600,21600" o:gfxdata="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hCI6/&#10;AAAA2w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0mm,0mm,0mm,0mm">
                          <w:txbxContent>
                            <w:p>
                              <w:pPr>
                                <w:spacing w:line="340" w:lineRule="exact"/>
                                <w:jc w:val="center"/>
                                <w:rPr>
                                  <w:szCs w:val="21"/>
                                </w:rPr>
                              </w:pPr>
                              <w:r>
                                <w:rPr>
                                  <w:rFonts w:hint="eastAsia"/>
                                  <w:szCs w:val="21"/>
                                </w:rPr>
                                <w:t>主体工程</w:t>
                              </w:r>
                            </w:p>
                          </w:txbxContent>
                        </v:textbox>
                      </v:rect>
                      <v:line id="直接连接符 7" o:spid="_x0000_s1026" o:spt="20" style="position:absolute;left:2325;top:231;height:0;width:437;" filled="f" stroked="t" coordsize="21600,21600" o:gfxdata="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66l+/&#10;AAAA2wAAAA8AAAAAAAAAAQAgAAAAIgAAAGRycy9kb3ducmV2LnhtbFBLAQIUABQAAAAIAIdO4kAz&#10;LwWeOwAAADkAAAAQAAAAAAAAAAEAIAAAAA4BAABkcnMvc2hhcGV4bWwueG1sUEsFBgAAAAAGAAYA&#10;WwEAALgDAAAAAA==&#10;">
                        <v:fill on="f" focussize="0,0"/>
                        <v:stroke color="#000000" joinstyle="round" endarrow="block" endarrowwidth="narrow" endarrowlength="long"/>
                        <v:imagedata o:title=""/>
                        <o:lock v:ext="edit" aspectratio="f"/>
                      </v:line>
                      <v:rect id="矩形 8" o:spid="_x0000_s1026" o:spt="1" style="position:absolute;left:2760;top:15;height:414;width:913;" fillcolor="#FFFFFF" filled="t" stroked="t" coordsize="21600,21600" o:gfxdata="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yOWe/&#10;AAAA2w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0mm,0mm,0mm,0mm">
                          <w:txbxContent>
                            <w:p>
                              <w:pPr>
                                <w:spacing w:line="340" w:lineRule="exact"/>
                                <w:jc w:val="center"/>
                                <w:rPr>
                                  <w:szCs w:val="21"/>
                                </w:rPr>
                              </w:pPr>
                              <w:r>
                                <w:rPr>
                                  <w:rFonts w:hint="eastAsia"/>
                                  <w:szCs w:val="21"/>
                                </w:rPr>
                                <w:t>装饰工程</w:t>
                              </w:r>
                            </w:p>
                          </w:txbxContent>
                        </v:textbox>
                      </v:rect>
                      <v:line id="直接连接符 14" o:spid="_x0000_s1026" o:spt="20" style="position:absolute;left:3690;top:216;height:0;width:525;" filled="f" stroked="t" coordsize="21600,21600" o:gfxdata="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Fwi/&#10;AAAA2wAAAA8AAAAAAAAAAQAgAAAAIgAAAGRycy9kb3ducmV2LnhtbFBLAQIUABQAAAAIAIdO4kAz&#10;LwWeOwAAADkAAAAQAAAAAAAAAAEAIAAAAA4BAABkcnMvc2hhcGV4bWwueG1sUEsFBgAAAAAGAAYA&#10;WwEAALgDAAAAAA==&#10;">
                        <v:fill on="f" focussize="0,0"/>
                        <v:stroke color="#000000" joinstyle="round" endarrow="block" endarrowwidth="narrow" endarrowlength="long"/>
                        <v:imagedata o:title=""/>
                        <o:lock v:ext="edit" aspectratio="f"/>
                      </v:line>
                      <v:rect id="矩形 15" o:spid="_x0000_s1026" o:spt="1" style="position:absolute;left:4200;top:15;height:414;width:913;" fillcolor="#FFFFFF" filled="t" stroked="t" coordsize="21600,21600" o:gfxdata="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tsQw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mm,0mm,0mm,0mm">
                          <w:txbxContent>
                            <w:p>
                              <w:pPr>
                                <w:spacing w:line="340" w:lineRule="exact"/>
                                <w:jc w:val="center"/>
                                <w:rPr>
                                  <w:szCs w:val="21"/>
                                </w:rPr>
                              </w:pPr>
                              <w:r>
                                <w:rPr>
                                  <w:rFonts w:hint="eastAsia"/>
                                  <w:szCs w:val="21"/>
                                </w:rPr>
                                <w:t>设备安装</w:t>
                              </w:r>
                            </w:p>
                          </w:txbxContent>
                        </v:textbox>
                      </v:rect>
                      <v:line id="直接连接符 16" o:spid="_x0000_s1026" o:spt="20" style="position:absolute;left:5140;top:216;height:0;width:437;" filled="f" stroked="t" coordsize="21600,21600" o:gfxdata="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sq574A&#10;AADbAAAADwAAAAAAAAABACAAAAAiAAAAZHJzL2Rvd25yZXYueG1sUEsBAhQAFAAAAAgAh07iQDMv&#10;BZ47AAAAOQAAABAAAAAAAAAAAQAgAAAADQEAAGRycy9zaGFwZXhtbC54bWxQSwUGAAAAAAYABgBb&#10;AQAAtwMAAAAA&#10;">
                        <v:fill on="f" focussize="0,0"/>
                        <v:stroke color="#000000" joinstyle="round" endarrow="block" endarrowwidth="narrow" endarrowlength="long"/>
                        <v:imagedata o:title=""/>
                        <o:lock v:ext="edit" aspectratio="f"/>
                      </v:line>
                      <v:rect id="矩形 17" o:spid="_x0000_s1026" o:spt="1" style="position:absolute;left:5565;top:0;height:414;width:913;" fillcolor="#FFFFFF" filled="t" stroked="t" coordsize="21600,21600" o:gfxdata="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XvPa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mm,0mm,0mm,0mm">
                          <w:txbxContent>
                            <w:p>
                              <w:pPr>
                                <w:spacing w:line="340" w:lineRule="exact"/>
                                <w:jc w:val="center"/>
                                <w:rPr>
                                  <w:szCs w:val="21"/>
                                </w:rPr>
                              </w:pPr>
                              <w:r>
                                <w:rPr>
                                  <w:rFonts w:hint="eastAsia"/>
                                  <w:szCs w:val="21"/>
                                </w:rPr>
                                <w:t>工程验收</w:t>
                              </w:r>
                            </w:p>
                          </w:txbxContent>
                        </v:textbox>
                      </v:rect>
                    </v:group>
                  </w:pict>
                </mc:Fallback>
              </mc:AlternateContent>
            </w:r>
          </w:p>
          <w:p>
            <w:pPr>
              <w:pStyle w:val="7"/>
              <w:spacing w:line="360" w:lineRule="auto"/>
              <w:ind w:firstLine="480"/>
              <w:rPr>
                <w:sz w:val="24"/>
              </w:rPr>
            </w:pPr>
            <w:r>
              <w:rPr>
                <w:sz w:val="24"/>
              </w:rPr>
              <mc:AlternateContent>
                <mc:Choice Requires="wps">
                  <w:drawing>
                    <wp:anchor distT="0" distB="0" distL="114300" distR="114300" simplePos="0" relativeHeight="251696128" behindDoc="0" locked="0" layoutInCell="1" allowOverlap="1">
                      <wp:simplePos x="0" y="0"/>
                      <wp:positionH relativeFrom="column">
                        <wp:posOffset>1439545</wp:posOffset>
                      </wp:positionH>
                      <wp:positionV relativeFrom="paragraph">
                        <wp:posOffset>118110</wp:posOffset>
                      </wp:positionV>
                      <wp:extent cx="635" cy="262890"/>
                      <wp:effectExtent l="38100" t="0" r="56515" b="41910"/>
                      <wp:wrapNone/>
                      <wp:docPr id="25" name="直接连接符 25"/>
                      <wp:cNvGraphicFramePr/>
                      <a:graphic xmlns:a="http://schemas.openxmlformats.org/drawingml/2006/main">
                        <a:graphicData uri="http://schemas.microsoft.com/office/word/2010/wordprocessingShape">
                          <wps:wsp>
                            <wps:cNvCnPr/>
                            <wps:spPr>
                              <a:xfrm>
                                <a:off x="0" y="0"/>
                                <a:ext cx="635" cy="262890"/>
                              </a:xfrm>
                              <a:prstGeom prst="line">
                                <a:avLst/>
                              </a:prstGeom>
                              <a:ln w="9525" cap="flat" cmpd="sng">
                                <a:solidFill>
                                  <a:srgbClr val="000000"/>
                                </a:solidFill>
                                <a:prstDash val="dash"/>
                                <a:headEnd type="none" w="med" len="med"/>
                                <a:tailEnd type="triangle" w="sm" len="lg"/>
                              </a:ln>
                            </wps:spPr>
                            <wps:bodyPr/>
                          </wps:wsp>
                        </a:graphicData>
                      </a:graphic>
                    </wp:anchor>
                  </w:drawing>
                </mc:Choice>
                <mc:Fallback>
                  <w:pict>
                    <v:line id="_x0000_s1026" o:spid="_x0000_s1026" o:spt="20" style="position:absolute;left:0pt;margin-left:113.35pt;margin-top:9.3pt;height:20.7pt;width:0.05pt;z-index:251696128;mso-width-relative:page;mso-height-relative:page;" filled="f" stroked="t" coordsize="21600,21600" o:gfxdata="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DWc6LVAAAACQEAAA8AAAAA&#10;AAAAAQAgAAAAIgAAAGRycy9kb3ducmV2LnhtbFBLAQIUABQAAAAIAIdO4kBPTOdU3gEAAI4DAAAO&#10;AAAAAAAAAAEAIAAAACQBAABkcnMvZTJvRG9jLnhtbFBLBQYAAAAABgAGAFkBAAB0BQAAAAA=&#10;">
                      <v:fill on="f" focussize="0,0"/>
                      <v:stroke color="#000000" joinstyle="round" dashstyle="dash" endarrow="block" endarrowwidth="narrow" endarrowlength="long"/>
                      <v:imagedata o:title=""/>
                      <o:lock v:ext="edit" aspectratio="f"/>
                    </v:line>
                  </w:pict>
                </mc:Fallback>
              </mc:AlternateContent>
            </w:r>
            <w:r>
              <w:rPr>
                <w:sz w:val="24"/>
              </w:rPr>
              <mc:AlternateContent>
                <mc:Choice Requires="wps">
                  <w:drawing>
                    <wp:anchor distT="0" distB="0" distL="114300" distR="114300" simplePos="0" relativeHeight="251697152" behindDoc="0" locked="0" layoutInCell="1" allowOverlap="1">
                      <wp:simplePos x="0" y="0"/>
                      <wp:positionH relativeFrom="column">
                        <wp:posOffset>2292350</wp:posOffset>
                      </wp:positionH>
                      <wp:positionV relativeFrom="paragraph">
                        <wp:posOffset>117475</wp:posOffset>
                      </wp:positionV>
                      <wp:extent cx="635" cy="262890"/>
                      <wp:effectExtent l="38100" t="0" r="56515" b="41910"/>
                      <wp:wrapNone/>
                      <wp:docPr id="26" name="直接连接符 26"/>
                      <wp:cNvGraphicFramePr/>
                      <a:graphic xmlns:a="http://schemas.openxmlformats.org/drawingml/2006/main">
                        <a:graphicData uri="http://schemas.microsoft.com/office/word/2010/wordprocessingShape">
                          <wps:wsp>
                            <wps:cNvCnPr/>
                            <wps:spPr>
                              <a:xfrm>
                                <a:off x="0" y="0"/>
                                <a:ext cx="635" cy="262890"/>
                              </a:xfrm>
                              <a:prstGeom prst="line">
                                <a:avLst/>
                              </a:prstGeom>
                              <a:ln w="9525" cap="flat" cmpd="sng">
                                <a:solidFill>
                                  <a:srgbClr val="000000"/>
                                </a:solidFill>
                                <a:prstDash val="dash"/>
                                <a:headEnd type="none" w="med" len="med"/>
                                <a:tailEnd type="triangle" w="sm" len="lg"/>
                              </a:ln>
                            </wps:spPr>
                            <wps:bodyPr/>
                          </wps:wsp>
                        </a:graphicData>
                      </a:graphic>
                    </wp:anchor>
                  </w:drawing>
                </mc:Choice>
                <mc:Fallback>
                  <w:pict>
                    <v:line id="_x0000_s1026" o:spid="_x0000_s1026" o:spt="20" style="position:absolute;left:0pt;margin-left:180.5pt;margin-top:9.25pt;height:20.7pt;width:0.05pt;z-index:251697152;mso-width-relative:page;mso-height-relative:page;" filled="f" stroked="t" coordsize="21600,21600" o:gfxdata="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lf+NH9YAAAAJAQAADwAA&#10;AAAAAAABACAAAAAiAAAAZHJzL2Rvd25yZXYueG1sUEsBAhQAFAAAAAgAh07iQKWqLAvfAQAAjgMA&#10;AA4AAAAAAAAAAQAgAAAAJQEAAGRycy9lMm9Eb2MueG1sUEsFBgAAAAAGAAYAWQEAAHYFAAAAAA==&#10;">
                      <v:fill on="f" focussize="0,0"/>
                      <v:stroke color="#000000" joinstyle="round" dashstyle="dash" endarrow="block" endarrowwidth="narrow" endarrowlength="long"/>
                      <v:imagedata o:title=""/>
                      <o:lock v:ext="edit" aspectratio="f"/>
                    </v:line>
                  </w:pict>
                </mc:Fallback>
              </mc:AlternateContent>
            </w:r>
            <w:r>
              <w:rPr>
                <w:sz w:val="24"/>
              </w:rPr>
              <mc:AlternateContent>
                <mc:Choice Requires="wps">
                  <w:drawing>
                    <wp:anchor distT="0" distB="0" distL="114300" distR="114300" simplePos="0" relativeHeight="251701248" behindDoc="0" locked="0" layoutInCell="1" allowOverlap="1">
                      <wp:simplePos x="0" y="0"/>
                      <wp:positionH relativeFrom="column">
                        <wp:posOffset>3219450</wp:posOffset>
                      </wp:positionH>
                      <wp:positionV relativeFrom="paragraph">
                        <wp:posOffset>120650</wp:posOffset>
                      </wp:positionV>
                      <wp:extent cx="635" cy="262890"/>
                      <wp:effectExtent l="38100" t="0" r="56515" b="41910"/>
                      <wp:wrapNone/>
                      <wp:docPr id="35" name="直接连接符 35"/>
                      <wp:cNvGraphicFramePr/>
                      <a:graphic xmlns:a="http://schemas.openxmlformats.org/drawingml/2006/main">
                        <a:graphicData uri="http://schemas.microsoft.com/office/word/2010/wordprocessingShape">
                          <wps:wsp>
                            <wps:cNvCnPr/>
                            <wps:spPr>
                              <a:xfrm>
                                <a:off x="0" y="0"/>
                                <a:ext cx="635" cy="262890"/>
                              </a:xfrm>
                              <a:prstGeom prst="line">
                                <a:avLst/>
                              </a:prstGeom>
                              <a:ln w="9525" cap="flat" cmpd="sng">
                                <a:solidFill>
                                  <a:srgbClr val="000000"/>
                                </a:solidFill>
                                <a:prstDash val="dash"/>
                                <a:headEnd type="none" w="med" len="med"/>
                                <a:tailEnd type="triangle" w="sm" len="lg"/>
                              </a:ln>
                            </wps:spPr>
                            <wps:bodyPr/>
                          </wps:wsp>
                        </a:graphicData>
                      </a:graphic>
                    </wp:anchor>
                  </w:drawing>
                </mc:Choice>
                <mc:Fallback>
                  <w:pict>
                    <v:line id="_x0000_s1026" o:spid="_x0000_s1026" o:spt="20" style="position:absolute;left:0pt;margin-left:253.5pt;margin-top:9.5pt;height:20.7pt;width:0.05pt;z-index:251701248;mso-width-relative:page;mso-height-relative:page;" filled="f" stroked="t" coordsize="21600,21600" o:gfxdata="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ZkH6T1gAAAAkBAAAPAAAA&#10;AAAAAAEAIAAAACIAAABkcnMvZG93bnJldi54bWxQSwECFAAUAAAACACHTuJA8PG33d4BAACOAwAA&#10;DgAAAAAAAAABACAAAAAlAQAAZHJzL2Uyb0RvYy54bWxQSwUGAAAAAAYABgBZAQAAdQUAAAAA&#10;">
                      <v:fill on="f" focussize="0,0"/>
                      <v:stroke color="#000000" joinstyle="round" dashstyle="dash" endarrow="block" endarrowwidth="narrow" endarrowlength="long"/>
                      <v:imagedata o:title=""/>
                      <o:lock v:ext="edit" aspectratio="f"/>
                    </v:line>
                  </w:pict>
                </mc:Fallback>
              </mc:AlternateContent>
            </w:r>
          </w:p>
          <w:p>
            <w:pPr>
              <w:pStyle w:val="7"/>
              <w:spacing w:line="360" w:lineRule="auto"/>
              <w:ind w:firstLine="480"/>
              <w:rPr>
                <w:sz w:val="24"/>
              </w:rPr>
            </w:pPr>
            <w:r>
              <w:rPr>
                <w:sz w:val="24"/>
              </w:rPr>
              <mc:AlternateContent>
                <mc:Choice Requires="wps">
                  <w:drawing>
                    <wp:anchor distT="0" distB="0" distL="114300" distR="114300" simplePos="0" relativeHeight="251702272" behindDoc="0" locked="0" layoutInCell="1" allowOverlap="1">
                      <wp:simplePos x="0" y="0"/>
                      <wp:positionH relativeFrom="column">
                        <wp:posOffset>2992120</wp:posOffset>
                      </wp:positionH>
                      <wp:positionV relativeFrom="paragraph">
                        <wp:posOffset>53340</wp:posOffset>
                      </wp:positionV>
                      <wp:extent cx="441325" cy="297180"/>
                      <wp:effectExtent l="0" t="0" r="0" b="0"/>
                      <wp:wrapNone/>
                      <wp:docPr id="45" name="矩形 45"/>
                      <wp:cNvGraphicFramePr/>
                      <a:graphic xmlns:a="http://schemas.openxmlformats.org/drawingml/2006/main">
                        <a:graphicData uri="http://schemas.microsoft.com/office/word/2010/wordprocessingShape">
                          <wps:wsp>
                            <wps:cNvSpPr/>
                            <wps:spPr>
                              <a:xfrm>
                                <a:off x="0" y="0"/>
                                <a:ext cx="441325" cy="297180"/>
                              </a:xfrm>
                              <a:prstGeom prst="rect">
                                <a:avLst/>
                              </a:prstGeom>
                              <a:noFill/>
                              <a:ln>
                                <a:noFill/>
                              </a:ln>
                            </wps:spPr>
                            <wps:txbx>
                              <w:txbxContent>
                                <w:p>
                                  <w:pPr>
                                    <w:jc w:val="center"/>
                                    <w:rPr>
                                      <w:szCs w:val="21"/>
                                    </w:rPr>
                                  </w:pPr>
                                  <w:r>
                                    <w:rPr>
                                      <w:rFonts w:hint="eastAsia"/>
                                      <w:szCs w:val="21"/>
                                    </w:rPr>
                                    <w:t>S1</w:t>
                                  </w:r>
                                </w:p>
                              </w:txbxContent>
                            </wps:txbx>
                            <wps:bodyPr lIns="0" tIns="0" rIns="0" bIns="0" upright="1"/>
                          </wps:wsp>
                        </a:graphicData>
                      </a:graphic>
                    </wp:anchor>
                  </w:drawing>
                </mc:Choice>
                <mc:Fallback>
                  <w:pict>
                    <v:rect id="_x0000_s1026" o:spid="_x0000_s1026" o:spt="1" style="position:absolute;left:0pt;margin-left:235.6pt;margin-top:4.2pt;height:23.4pt;width:34.75pt;z-index:251702272;mso-width-relative:page;mso-height-relative:page;" filled="f" stroked="f" coordsize="21600,21600" o:gfxdata="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AWQUQvZAAAACAEAAA8AAAAAAAAAAQAgAAAAIgAA&#10;AGRycy9kb3ducmV2LnhtbFBLAQIUABQAAAAIAIdO4kD2hcW5lQEAABgDAAAOAAAAAAAAAAEAIAAA&#10;ACgBAABkcnMvZTJvRG9jLnhtbFBLBQYAAAAABgAGAFkBAAAvBQAAAAA=&#10;">
                      <v:fill on="f" focussize="0,0"/>
                      <v:stroke on="f"/>
                      <v:imagedata o:title=""/>
                      <o:lock v:ext="edit" aspectratio="f"/>
                      <v:textbox inset="0mm,0mm,0mm,0mm">
                        <w:txbxContent>
                          <w:p>
                            <w:pPr>
                              <w:jc w:val="center"/>
                              <w:rPr>
                                <w:szCs w:val="21"/>
                              </w:rPr>
                            </w:pPr>
                            <w:r>
                              <w:rPr>
                                <w:rFonts w:hint="eastAsia"/>
                                <w:szCs w:val="21"/>
                              </w:rPr>
                              <w:t>S1</w:t>
                            </w:r>
                          </w:p>
                        </w:txbxContent>
                      </v:textbox>
                    </v:rect>
                  </w:pict>
                </mc:Fallback>
              </mc:AlternateContent>
            </w:r>
            <w:r>
              <w:rPr>
                <w:sz w:val="24"/>
              </w:rPr>
              <mc:AlternateContent>
                <mc:Choice Requires="wps">
                  <w:drawing>
                    <wp:anchor distT="0" distB="0" distL="114300" distR="114300" simplePos="0" relativeHeight="251700224" behindDoc="0" locked="0" layoutInCell="1" allowOverlap="1">
                      <wp:simplePos x="0" y="0"/>
                      <wp:positionH relativeFrom="column">
                        <wp:posOffset>1367155</wp:posOffset>
                      </wp:positionH>
                      <wp:positionV relativeFrom="paragraph">
                        <wp:posOffset>314960</wp:posOffset>
                      </wp:positionV>
                      <wp:extent cx="995680" cy="297180"/>
                      <wp:effectExtent l="0" t="0" r="0" b="0"/>
                      <wp:wrapNone/>
                      <wp:docPr id="21" name="矩形 21"/>
                      <wp:cNvGraphicFramePr/>
                      <a:graphic xmlns:a="http://schemas.openxmlformats.org/drawingml/2006/main">
                        <a:graphicData uri="http://schemas.microsoft.com/office/word/2010/wordprocessingShape">
                          <wps:wsp>
                            <wps:cNvSpPr/>
                            <wps:spPr>
                              <a:xfrm>
                                <a:off x="0" y="0"/>
                                <a:ext cx="995680" cy="297180"/>
                              </a:xfrm>
                              <a:prstGeom prst="rect">
                                <a:avLst/>
                              </a:prstGeom>
                              <a:noFill/>
                              <a:ln>
                                <a:noFill/>
                              </a:ln>
                            </wps:spPr>
                            <wps:txbx>
                              <w:txbxContent>
                                <w:p>
                                  <w:pPr>
                                    <w:jc w:val="center"/>
                                    <w:rPr>
                                      <w:szCs w:val="21"/>
                                    </w:rPr>
                                  </w:pPr>
                                  <w:r>
                                    <w:rPr>
                                      <w:rFonts w:hint="eastAsia"/>
                                      <w:szCs w:val="21"/>
                                    </w:rPr>
                                    <w:t>W1、S1</w:t>
                                  </w:r>
                                </w:p>
                              </w:txbxContent>
                            </wps:txbx>
                            <wps:bodyPr lIns="0" tIns="0" rIns="0" bIns="0" upright="1"/>
                          </wps:wsp>
                        </a:graphicData>
                      </a:graphic>
                    </wp:anchor>
                  </w:drawing>
                </mc:Choice>
                <mc:Fallback>
                  <w:pict>
                    <v:rect id="_x0000_s1026" o:spid="_x0000_s1026" o:spt="1" style="position:absolute;left:0pt;margin-left:107.65pt;margin-top:24.8pt;height:23.4pt;width:78.4pt;z-index:251700224;mso-width-relative:page;mso-height-relative:page;" filled="f" stroked="f" coordsize="21600,21600" o:gfxdata="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&#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GQ4zNDbAAAACQEAAA8AAAAAAAAAAQAgAAAAIgAAAGRy&#10;cy9kb3ducmV2LnhtbFBLAQIUABQAAAAIAIdO4kBzwZv3kAEAABgDAAAOAAAAAAAAAAEAIAAAACoB&#10;AABkcnMvZTJvRG9jLnhtbFBLBQYAAAAABgAGAFkBAAAsBQAAAAA=&#10;">
                      <v:fill on="f" focussize="0,0"/>
                      <v:stroke on="f"/>
                      <v:imagedata o:title=""/>
                      <o:lock v:ext="edit" aspectratio="f"/>
                      <v:textbox inset="0mm,0mm,0mm,0mm">
                        <w:txbxContent>
                          <w:p>
                            <w:pPr>
                              <w:jc w:val="center"/>
                              <w:rPr>
                                <w:szCs w:val="21"/>
                              </w:rPr>
                            </w:pPr>
                            <w:r>
                              <w:rPr>
                                <w:rFonts w:hint="eastAsia"/>
                                <w:szCs w:val="21"/>
                              </w:rPr>
                              <w:t>W1、S1</w:t>
                            </w:r>
                          </w:p>
                        </w:txbxContent>
                      </v:textbox>
                    </v:rect>
                  </w:pict>
                </mc:Fallback>
              </mc:AlternateContent>
            </w:r>
            <w:r>
              <w:rPr>
                <w:sz w:val="24"/>
              </w:rPr>
              <mc:AlternateContent>
                <mc:Choice Requires="wps">
                  <w:drawing>
                    <wp:anchor distT="0" distB="0" distL="114300" distR="114300" simplePos="0" relativeHeight="251699200" behindDoc="0" locked="0" layoutInCell="1" allowOverlap="1">
                      <wp:simplePos x="0" y="0"/>
                      <wp:positionH relativeFrom="column">
                        <wp:posOffset>1892300</wp:posOffset>
                      </wp:positionH>
                      <wp:positionV relativeFrom="paragraph">
                        <wp:posOffset>42545</wp:posOffset>
                      </wp:positionV>
                      <wp:extent cx="635" cy="262890"/>
                      <wp:effectExtent l="38100" t="0" r="56515" b="41910"/>
                      <wp:wrapNone/>
                      <wp:docPr id="27" name="直接连接符 27"/>
                      <wp:cNvGraphicFramePr/>
                      <a:graphic xmlns:a="http://schemas.openxmlformats.org/drawingml/2006/main">
                        <a:graphicData uri="http://schemas.microsoft.com/office/word/2010/wordprocessingShape">
                          <wps:wsp>
                            <wps:cNvCnPr/>
                            <wps:spPr>
                              <a:xfrm>
                                <a:off x="0" y="0"/>
                                <a:ext cx="635" cy="262890"/>
                              </a:xfrm>
                              <a:prstGeom prst="line">
                                <a:avLst/>
                              </a:prstGeom>
                              <a:ln w="9525" cap="flat" cmpd="sng">
                                <a:solidFill>
                                  <a:srgbClr val="000000"/>
                                </a:solidFill>
                                <a:prstDash val="dash"/>
                                <a:headEnd type="none" w="med" len="med"/>
                                <a:tailEnd type="triangle" w="sm" len="lg"/>
                              </a:ln>
                            </wps:spPr>
                            <wps:bodyPr/>
                          </wps:wsp>
                        </a:graphicData>
                      </a:graphic>
                    </wp:anchor>
                  </w:drawing>
                </mc:Choice>
                <mc:Fallback>
                  <w:pict>
                    <v:line id="_x0000_s1026" o:spid="_x0000_s1026" o:spt="20" style="position:absolute;left:0pt;margin-left:149pt;margin-top:3.35pt;height:20.7pt;width:0.05pt;z-index:251699200;mso-width-relative:page;mso-height-relative:page;" filled="f" stroked="t" coordsize="21600,21600" o:gfxdata="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Gec6d1QAAAAgBAAAPAAAA&#10;AAAAAAEAIAAAACIAAABkcnMvZG93bnJldi54bWxQSwECFAAUAAAACACHTuJAPPW6iN8BAACOAwAA&#10;DgAAAAAAAAABACAAAAAkAQAAZHJzL2Uyb0RvYy54bWxQSwUGAAAAAAYABgBZAQAAdQUAAAAA&#10;">
                      <v:fill on="f" focussize="0,0"/>
                      <v:stroke color="#000000" joinstyle="round" dashstyle="dash" endarrow="block" endarrowwidth="narrow" endarrowlength="long"/>
                      <v:imagedata o:title=""/>
                      <o:lock v:ext="edit" aspectratio="f"/>
                    </v:line>
                  </w:pict>
                </mc:Fallback>
              </mc:AlternateContent>
            </w:r>
            <w:r>
              <w:rPr>
                <w:sz w:val="24"/>
              </w:rPr>
              <mc:AlternateContent>
                <mc:Choice Requires="wps">
                  <w:drawing>
                    <wp:anchor distT="0" distB="0" distL="114300" distR="114300" simplePos="0" relativeHeight="251698176" behindDoc="0" locked="0" layoutInCell="1" allowOverlap="1">
                      <wp:simplePos x="0" y="0"/>
                      <wp:positionH relativeFrom="column">
                        <wp:posOffset>1435100</wp:posOffset>
                      </wp:positionH>
                      <wp:positionV relativeFrom="paragraph">
                        <wp:posOffset>43815</wp:posOffset>
                      </wp:positionV>
                      <wp:extent cx="864235" cy="0"/>
                      <wp:effectExtent l="0" t="0" r="12065" b="0"/>
                      <wp:wrapNone/>
                      <wp:docPr id="28" name="直接连接符 28"/>
                      <wp:cNvGraphicFramePr/>
                      <a:graphic xmlns:a="http://schemas.openxmlformats.org/drawingml/2006/main">
                        <a:graphicData uri="http://schemas.microsoft.com/office/word/2010/wordprocessingShape">
                          <wps:wsp>
                            <wps:cNvCnPr/>
                            <wps:spPr>
                              <a:xfrm>
                                <a:off x="0" y="0"/>
                                <a:ext cx="8642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13pt;margin-top:3.45pt;height:0pt;width:68.05pt;z-index:251698176;mso-width-relative:page;mso-height-relative:page;" filled="f" stroked="t" coordsize="21600,21600" o:gfxdata="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q3ZoPVAAAABwEAAA8AAAAAAAAAAQAgAAAAIgAA&#10;AGRycy9kb3ducmV2LnhtbFBLAQIUABQAAAAIAIdO4kB/u6VC0gEAAIsDAAAOAAAAAAAAAAEAIAAA&#10;ACQBAABkcnMvZTJvRG9jLnhtbFBLBQYAAAAABgAGAFkBAABoBQAAAAA=&#10;">
                      <v:fill on="f" focussize="0,0"/>
                      <v:stroke color="#000000" joinstyle="round"/>
                      <v:imagedata o:title=""/>
                      <o:lock v:ext="edit" aspectratio="f"/>
                    </v:line>
                  </w:pict>
                </mc:Fallback>
              </mc:AlternateContent>
            </w:r>
          </w:p>
          <w:p>
            <w:pPr>
              <w:pStyle w:val="7"/>
              <w:spacing w:line="360" w:lineRule="auto"/>
              <w:ind w:firstLine="480"/>
              <w:rPr>
                <w:sz w:val="24"/>
              </w:rPr>
            </w:pPr>
          </w:p>
          <w:p>
            <w:pPr>
              <w:spacing w:line="360" w:lineRule="auto"/>
              <w:jc w:val="center"/>
              <w:rPr>
                <w:sz w:val="24"/>
                <w:szCs w:val="24"/>
              </w:rPr>
            </w:pPr>
            <w:r>
              <w:rPr>
                <w:sz w:val="24"/>
                <w:szCs w:val="24"/>
              </w:rPr>
              <w:t>图4 垃圾转运站施工期工程工艺流程及产污节点示意图</w:t>
            </w:r>
          </w:p>
          <w:p>
            <w:pPr>
              <w:pStyle w:val="105"/>
              <w:spacing w:line="360" w:lineRule="auto"/>
              <w:ind w:firstLine="480" w:firstLineChars="200"/>
              <w:jc w:val="both"/>
              <w:rPr>
                <w:rFonts w:ascii="Times New Roman"/>
                <w:color w:val="auto"/>
              </w:rPr>
            </w:pPr>
            <w:r>
              <w:rPr>
                <w:rFonts w:hint="eastAsia" w:ascii="Times New Roman"/>
                <w:color w:val="auto"/>
              </w:rPr>
              <w:t>污染物标识符号：</w:t>
            </w:r>
          </w:p>
          <w:p>
            <w:pPr>
              <w:pStyle w:val="105"/>
              <w:spacing w:line="360" w:lineRule="auto"/>
              <w:ind w:firstLine="480" w:firstLineChars="200"/>
              <w:jc w:val="both"/>
              <w:rPr>
                <w:rFonts w:ascii="Times New Roman"/>
                <w:color w:val="auto"/>
              </w:rPr>
            </w:pPr>
            <w:r>
              <w:rPr>
                <w:rFonts w:hint="eastAsia" w:ascii="Times New Roman"/>
                <w:color w:val="auto"/>
              </w:rPr>
              <w:t>噪声：</w:t>
            </w:r>
            <w:r>
              <w:rPr>
                <w:rFonts w:ascii="Times New Roman" w:cs="Times New Roman"/>
                <w:color w:val="auto"/>
              </w:rPr>
              <w:t>N1</w:t>
            </w:r>
            <w:r>
              <w:rPr>
                <w:rFonts w:hint="eastAsia" w:ascii="Times New Roman"/>
                <w:color w:val="auto"/>
              </w:rPr>
              <w:t>机械设备噪声；</w:t>
            </w:r>
          </w:p>
          <w:p>
            <w:pPr>
              <w:pStyle w:val="105"/>
              <w:spacing w:line="360" w:lineRule="auto"/>
              <w:ind w:firstLine="480" w:firstLineChars="200"/>
              <w:jc w:val="both"/>
              <w:rPr>
                <w:rFonts w:ascii="Times New Roman"/>
                <w:color w:val="auto"/>
              </w:rPr>
            </w:pPr>
            <w:r>
              <w:rPr>
                <w:rFonts w:hint="eastAsia" w:ascii="Times New Roman"/>
                <w:color w:val="auto"/>
              </w:rPr>
              <w:t>废水：</w:t>
            </w:r>
            <w:r>
              <w:rPr>
                <w:rFonts w:ascii="Times New Roman" w:cs="Times New Roman"/>
                <w:color w:val="auto"/>
              </w:rPr>
              <w:t>W1</w:t>
            </w:r>
            <w:r>
              <w:rPr>
                <w:rFonts w:hint="eastAsia" w:ascii="Times New Roman"/>
                <w:color w:val="auto"/>
              </w:rPr>
              <w:t>施工废水；</w:t>
            </w:r>
          </w:p>
          <w:p>
            <w:pPr>
              <w:pStyle w:val="105"/>
              <w:spacing w:line="360" w:lineRule="auto"/>
              <w:ind w:firstLine="480" w:firstLineChars="200"/>
              <w:jc w:val="both"/>
              <w:rPr>
                <w:rFonts w:ascii="Times New Roman"/>
                <w:color w:val="auto"/>
              </w:rPr>
            </w:pPr>
            <w:r>
              <w:rPr>
                <w:rFonts w:hint="eastAsia" w:ascii="Times New Roman"/>
                <w:color w:val="auto"/>
              </w:rPr>
              <w:t>废气：</w:t>
            </w:r>
            <w:r>
              <w:rPr>
                <w:rFonts w:ascii="Times New Roman" w:cs="Times New Roman"/>
                <w:color w:val="auto"/>
              </w:rPr>
              <w:t>G1</w:t>
            </w:r>
            <w:r>
              <w:rPr>
                <w:rFonts w:hint="eastAsia" w:ascii="Times New Roman"/>
                <w:color w:val="auto"/>
              </w:rPr>
              <w:t>施工扬尘；</w:t>
            </w:r>
          </w:p>
          <w:p>
            <w:pPr>
              <w:spacing w:line="360" w:lineRule="auto"/>
              <w:ind w:firstLine="480" w:firstLineChars="200"/>
              <w:rPr>
                <w:sz w:val="24"/>
                <w:szCs w:val="24"/>
              </w:rPr>
            </w:pPr>
            <w:r>
              <w:rPr>
                <w:rFonts w:hint="eastAsia"/>
                <w:sz w:val="24"/>
                <w:szCs w:val="24"/>
              </w:rPr>
              <w:t>固废：</w:t>
            </w:r>
            <w:r>
              <w:rPr>
                <w:sz w:val="24"/>
                <w:szCs w:val="24"/>
              </w:rPr>
              <w:t>S1</w:t>
            </w:r>
            <w:r>
              <w:rPr>
                <w:rFonts w:hint="eastAsia"/>
                <w:sz w:val="24"/>
                <w:szCs w:val="24"/>
              </w:rPr>
              <w:t>建筑垃圾。</w:t>
            </w:r>
          </w:p>
          <w:p>
            <w:pPr>
              <w:pStyle w:val="105"/>
              <w:spacing w:line="360" w:lineRule="auto"/>
              <w:ind w:firstLine="480" w:firstLineChars="200"/>
              <w:jc w:val="both"/>
              <w:rPr>
                <w:rFonts w:ascii="Times New Roman"/>
                <w:color w:val="auto"/>
              </w:rPr>
            </w:pPr>
            <w:r>
              <w:rPr>
                <w:rFonts w:hint="eastAsia" w:ascii="Times New Roman"/>
                <w:color w:val="auto"/>
              </w:rPr>
              <w:t>施工期主要工艺流程简述：</w:t>
            </w:r>
          </w:p>
          <w:p>
            <w:pPr>
              <w:spacing w:line="360" w:lineRule="auto"/>
              <w:ind w:firstLine="480" w:firstLineChars="200"/>
              <w:rPr>
                <w:sz w:val="24"/>
                <w:szCs w:val="24"/>
              </w:rPr>
            </w:pPr>
            <w:r>
              <w:rPr>
                <w:rFonts w:hint="eastAsia"/>
                <w:sz w:val="24"/>
                <w:szCs w:val="24"/>
              </w:rPr>
              <w:t>项目施工期主要流程为土地平整、基础工程（钻探浇筑或打桩等）、主体工程、装饰工程（建筑物内外部装修）、设备安装、验收前的维护等过程。</w:t>
            </w:r>
          </w:p>
          <w:p>
            <w:pPr>
              <w:autoSpaceDE w:val="0"/>
              <w:autoSpaceDN w:val="0"/>
              <w:spacing w:line="360" w:lineRule="auto"/>
              <w:ind w:firstLine="480" w:firstLineChars="200"/>
              <w:jc w:val="left"/>
              <w:textAlignment w:val="auto"/>
              <w:rPr>
                <w:rFonts w:cs="宋体"/>
                <w:sz w:val="24"/>
                <w:szCs w:val="24"/>
              </w:rPr>
            </w:pPr>
            <w:r>
              <w:rPr>
                <w:rFonts w:hint="eastAsia"/>
                <w:sz w:val="24"/>
                <w:szCs w:val="24"/>
              </w:rPr>
              <w:t>二、</w:t>
            </w:r>
            <w:r>
              <w:rPr>
                <w:rFonts w:hint="eastAsia" w:cs="宋体"/>
                <w:sz w:val="24"/>
                <w:szCs w:val="24"/>
              </w:rPr>
              <w:t>通过技术经济比较并结合鹰手营子矿区两个转运站的用地布局，因此本项目推荐</w:t>
            </w:r>
            <w:r>
              <w:rPr>
                <w:rFonts w:hint="eastAsia"/>
                <w:sz w:val="24"/>
                <w:szCs w:val="24"/>
              </w:rPr>
              <w:t>规模1</w:t>
            </w:r>
            <w:r>
              <w:rPr>
                <w:sz w:val="24"/>
                <w:szCs w:val="24"/>
              </w:rPr>
              <w:t>20</w:t>
            </w:r>
            <w:r>
              <w:rPr>
                <w:rFonts w:hint="eastAsia"/>
                <w:sz w:val="24"/>
                <w:szCs w:val="24"/>
              </w:rPr>
              <w:t>t</w:t>
            </w:r>
            <w:r>
              <w:rPr>
                <w:sz w:val="24"/>
                <w:szCs w:val="24"/>
              </w:rPr>
              <w:t>/</w:t>
            </w:r>
            <w:r>
              <w:rPr>
                <w:rFonts w:hint="eastAsia"/>
                <w:sz w:val="24"/>
                <w:szCs w:val="24"/>
              </w:rPr>
              <w:t>d</w:t>
            </w:r>
            <w:r>
              <w:rPr>
                <w:rFonts w:hint="eastAsia" w:cs="宋体"/>
                <w:sz w:val="24"/>
                <w:szCs w:val="24"/>
              </w:rPr>
              <w:t>垃圾中转站采用水平式压缩站（整体式），</w:t>
            </w:r>
            <w:r>
              <w:rPr>
                <w:rFonts w:hint="eastAsia"/>
                <w:sz w:val="24"/>
                <w:szCs w:val="24"/>
              </w:rPr>
              <w:t>规模2</w:t>
            </w:r>
            <w:r>
              <w:rPr>
                <w:sz w:val="24"/>
                <w:szCs w:val="24"/>
              </w:rPr>
              <w:t>0</w:t>
            </w:r>
            <w:r>
              <w:rPr>
                <w:rFonts w:hint="eastAsia"/>
                <w:sz w:val="24"/>
                <w:szCs w:val="24"/>
              </w:rPr>
              <w:t>t</w:t>
            </w:r>
            <w:r>
              <w:rPr>
                <w:sz w:val="24"/>
                <w:szCs w:val="24"/>
              </w:rPr>
              <w:t>/</w:t>
            </w:r>
            <w:r>
              <w:rPr>
                <w:rFonts w:hint="eastAsia"/>
                <w:sz w:val="24"/>
                <w:szCs w:val="24"/>
              </w:rPr>
              <w:t>d</w:t>
            </w:r>
            <w:r>
              <w:rPr>
                <w:rFonts w:hint="eastAsia" w:cs="宋体"/>
                <w:sz w:val="24"/>
                <w:szCs w:val="24"/>
              </w:rPr>
              <w:t>垃圾中转站采用水平式压缩站（分体式式）工艺。</w:t>
            </w:r>
            <w:r>
              <w:rPr>
                <w:rFonts w:hint="eastAsia"/>
                <w:sz w:val="24"/>
                <w:szCs w:val="24"/>
              </w:rPr>
              <w:t>规模1</w:t>
            </w:r>
            <w:r>
              <w:rPr>
                <w:sz w:val="24"/>
                <w:szCs w:val="24"/>
              </w:rPr>
              <w:t>20</w:t>
            </w:r>
            <w:r>
              <w:rPr>
                <w:rFonts w:hint="eastAsia"/>
                <w:sz w:val="24"/>
                <w:szCs w:val="24"/>
              </w:rPr>
              <w:t>t</w:t>
            </w:r>
            <w:r>
              <w:rPr>
                <w:sz w:val="24"/>
                <w:szCs w:val="24"/>
              </w:rPr>
              <w:t>/</w:t>
            </w:r>
            <w:r>
              <w:rPr>
                <w:rFonts w:hint="eastAsia"/>
                <w:sz w:val="24"/>
                <w:szCs w:val="24"/>
              </w:rPr>
              <w:t>d及规模2</w:t>
            </w:r>
            <w:r>
              <w:rPr>
                <w:sz w:val="24"/>
                <w:szCs w:val="24"/>
              </w:rPr>
              <w:t>0</w:t>
            </w:r>
            <w:r>
              <w:rPr>
                <w:rFonts w:hint="eastAsia"/>
                <w:sz w:val="24"/>
                <w:szCs w:val="24"/>
              </w:rPr>
              <w:t>t</w:t>
            </w:r>
            <w:r>
              <w:rPr>
                <w:sz w:val="24"/>
                <w:szCs w:val="24"/>
              </w:rPr>
              <w:t>/</w:t>
            </w:r>
            <w:r>
              <w:rPr>
                <w:rFonts w:hint="eastAsia"/>
                <w:sz w:val="24"/>
                <w:szCs w:val="24"/>
              </w:rPr>
              <w:t>d垃圾转运站运营期</w:t>
            </w:r>
            <w:r>
              <w:rPr>
                <w:sz w:val="24"/>
                <w:szCs w:val="24"/>
              </w:rPr>
              <w:t>工艺流程及排污节点分别见</w:t>
            </w:r>
            <w:r>
              <w:rPr>
                <w:rFonts w:hint="eastAsia"/>
                <w:sz w:val="24"/>
                <w:szCs w:val="24"/>
              </w:rPr>
              <w:t>图</w:t>
            </w:r>
            <w:r>
              <w:rPr>
                <w:sz w:val="24"/>
                <w:szCs w:val="24"/>
              </w:rPr>
              <w:t>5</w:t>
            </w:r>
            <w:r>
              <w:rPr>
                <w:rFonts w:hint="eastAsia"/>
                <w:sz w:val="24"/>
                <w:szCs w:val="24"/>
              </w:rPr>
              <w:t>、图</w:t>
            </w:r>
            <w:r>
              <w:rPr>
                <w:sz w:val="24"/>
                <w:szCs w:val="24"/>
              </w:rPr>
              <w:t>6</w:t>
            </w:r>
            <w:r>
              <w:rPr>
                <w:rFonts w:hint="eastAsia"/>
                <w:sz w:val="24"/>
                <w:szCs w:val="24"/>
              </w:rPr>
              <w:t>。</w:t>
            </w:r>
          </w:p>
          <w:p>
            <w:pPr>
              <w:pStyle w:val="26"/>
              <w:spacing w:line="360" w:lineRule="auto"/>
              <w:ind w:firstLine="480"/>
              <w:jc w:val="center"/>
              <w:rPr>
                <w:sz w:val="24"/>
                <w:szCs w:val="24"/>
              </w:rPr>
            </w:pPr>
            <w:r>
              <w:rPr>
                <w:sz w:val="24"/>
                <w:szCs w:val="24"/>
              </w:rPr>
              <w:drawing>
                <wp:inline distT="0" distB="0" distL="0" distR="0">
                  <wp:extent cx="4000500" cy="288353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11287" cy="2891149"/>
                          </a:xfrm>
                          <a:prstGeom prst="rect">
                            <a:avLst/>
                          </a:prstGeom>
                        </pic:spPr>
                      </pic:pic>
                    </a:graphicData>
                  </a:graphic>
                </wp:inline>
              </w:drawing>
            </w:r>
          </w:p>
          <w:p>
            <w:pPr>
              <w:pStyle w:val="26"/>
              <w:spacing w:line="360" w:lineRule="auto"/>
              <w:ind w:left="0" w:leftChars="0" w:firstLine="0" w:firstLineChars="0"/>
              <w:rPr>
                <w:sz w:val="24"/>
                <w:szCs w:val="24"/>
              </w:rPr>
            </w:pPr>
            <w:r>
              <w:rPr>
                <w:sz w:val="24"/>
                <w:szCs w:val="24"/>
              </w:rPr>
              <w:pict>
                <v:shape id="_x0000_i1026" o:spt="75" type="#_x0000_t75" style="height:129.85pt;width:428.1pt;" filled="f" o:preferrelative="t" stroked="f" coordsize="21600,21600">
                  <v:path/>
                  <v:fill on="f" focussize="0,0"/>
                  <v:stroke on="f" joinstyle="miter"/>
                  <v:imagedata r:id="rId19" o:title=""/>
                  <o:lock v:ext="edit" aspectratio="t"/>
                  <w10:wrap type="none"/>
                  <w10:anchorlock/>
                </v:shape>
              </w:pict>
            </w:r>
          </w:p>
          <w:p>
            <w:pPr>
              <w:spacing w:line="360" w:lineRule="auto"/>
              <w:jc w:val="center"/>
              <w:rPr>
                <w:sz w:val="24"/>
                <w:szCs w:val="24"/>
              </w:rPr>
            </w:pPr>
            <w:r>
              <w:rPr>
                <w:sz w:val="24"/>
                <w:szCs w:val="24"/>
              </w:rPr>
              <w:t xml:space="preserve">图5 </w:t>
            </w:r>
            <w:r>
              <w:rPr>
                <w:rFonts w:hint="eastAsia"/>
                <w:sz w:val="24"/>
                <w:szCs w:val="24"/>
              </w:rPr>
              <w:t>主城区垃圾转运站运营期工程工艺</w:t>
            </w:r>
            <w:r>
              <w:rPr>
                <w:sz w:val="24"/>
                <w:szCs w:val="24"/>
              </w:rPr>
              <w:t>流程及产</w:t>
            </w:r>
            <w:r>
              <w:rPr>
                <w:rFonts w:hint="eastAsia"/>
                <w:sz w:val="24"/>
                <w:szCs w:val="24"/>
              </w:rPr>
              <w:t>污</w:t>
            </w:r>
            <w:r>
              <w:rPr>
                <w:sz w:val="24"/>
                <w:szCs w:val="24"/>
              </w:rPr>
              <w:t>节点示意图</w:t>
            </w:r>
          </w:p>
          <w:p>
            <w:pPr>
              <w:pStyle w:val="105"/>
              <w:spacing w:line="360" w:lineRule="auto"/>
              <w:ind w:firstLine="480" w:firstLineChars="200"/>
              <w:jc w:val="both"/>
              <w:rPr>
                <w:rFonts w:ascii="Times New Roman"/>
                <w:color w:val="auto"/>
              </w:rPr>
            </w:pPr>
            <w:r>
              <w:rPr>
                <w:rFonts w:hint="eastAsia" w:ascii="Times New Roman"/>
                <w:color w:val="auto"/>
              </w:rPr>
              <w:t>污染物标识符号：</w:t>
            </w:r>
          </w:p>
          <w:p>
            <w:pPr>
              <w:pStyle w:val="105"/>
              <w:spacing w:line="360" w:lineRule="auto"/>
              <w:ind w:firstLine="480" w:firstLineChars="200"/>
              <w:jc w:val="both"/>
              <w:rPr>
                <w:rFonts w:ascii="Times New Roman"/>
                <w:color w:val="auto"/>
              </w:rPr>
            </w:pPr>
            <w:r>
              <w:rPr>
                <w:rFonts w:hint="eastAsia" w:ascii="Times New Roman"/>
                <w:color w:val="auto"/>
              </w:rPr>
              <w:t>噪声：</w:t>
            </w:r>
            <w:r>
              <w:rPr>
                <w:rFonts w:ascii="Times New Roman" w:cs="Times New Roman"/>
                <w:color w:val="auto"/>
              </w:rPr>
              <w:t>N1</w:t>
            </w:r>
            <w:r>
              <w:rPr>
                <w:rFonts w:hint="eastAsia" w:ascii="Times New Roman"/>
                <w:color w:val="auto"/>
              </w:rPr>
              <w:t>机械设备噪声；</w:t>
            </w:r>
            <w:r>
              <w:rPr>
                <w:rFonts w:ascii="Times New Roman" w:cs="Times New Roman"/>
                <w:color w:val="auto"/>
              </w:rPr>
              <w:t>N2</w:t>
            </w:r>
            <w:r>
              <w:rPr>
                <w:rFonts w:hint="eastAsia" w:ascii="Times New Roman"/>
                <w:color w:val="auto"/>
              </w:rPr>
              <w:t>汽车噪声；</w:t>
            </w:r>
          </w:p>
          <w:p>
            <w:pPr>
              <w:pStyle w:val="105"/>
              <w:spacing w:line="360" w:lineRule="auto"/>
              <w:ind w:firstLine="480" w:firstLineChars="200"/>
              <w:jc w:val="both"/>
              <w:rPr>
                <w:rFonts w:ascii="Times New Roman"/>
                <w:color w:val="auto"/>
              </w:rPr>
            </w:pPr>
            <w:r>
              <w:rPr>
                <w:rFonts w:hint="eastAsia" w:ascii="Times New Roman"/>
                <w:color w:val="auto"/>
              </w:rPr>
              <w:t>废水：</w:t>
            </w:r>
            <w:r>
              <w:rPr>
                <w:rFonts w:ascii="Times New Roman" w:cs="Times New Roman"/>
                <w:color w:val="auto"/>
              </w:rPr>
              <w:t>W1</w:t>
            </w:r>
            <w:r>
              <w:rPr>
                <w:rFonts w:hint="eastAsia" w:ascii="Times New Roman"/>
                <w:color w:val="auto"/>
              </w:rPr>
              <w:t>渗滤液；</w:t>
            </w:r>
            <w:r>
              <w:rPr>
                <w:rFonts w:ascii="Times New Roman" w:cs="Times New Roman"/>
                <w:color w:val="auto"/>
              </w:rPr>
              <w:t>W2</w:t>
            </w:r>
            <w:r>
              <w:rPr>
                <w:rFonts w:hint="eastAsia" w:ascii="Times New Roman"/>
                <w:color w:val="auto"/>
              </w:rPr>
              <w:t>冲洗废水；</w:t>
            </w:r>
          </w:p>
          <w:p>
            <w:pPr>
              <w:spacing w:line="360" w:lineRule="auto"/>
              <w:ind w:firstLine="480" w:firstLineChars="200"/>
              <w:rPr>
                <w:sz w:val="24"/>
                <w:szCs w:val="24"/>
              </w:rPr>
            </w:pPr>
            <w:r>
              <w:rPr>
                <w:rFonts w:hint="eastAsia"/>
                <w:sz w:val="24"/>
                <w:szCs w:val="24"/>
              </w:rPr>
              <w:t>废气：</w:t>
            </w:r>
            <w:r>
              <w:rPr>
                <w:sz w:val="24"/>
                <w:szCs w:val="24"/>
              </w:rPr>
              <w:t>G1</w:t>
            </w:r>
            <w:r>
              <w:rPr>
                <w:rFonts w:hint="eastAsia"/>
                <w:sz w:val="24"/>
                <w:szCs w:val="24"/>
              </w:rPr>
              <w:t>恶臭；</w:t>
            </w:r>
            <w:r>
              <w:rPr>
                <w:sz w:val="24"/>
                <w:szCs w:val="24"/>
              </w:rPr>
              <w:t>G2</w:t>
            </w:r>
            <w:r>
              <w:rPr>
                <w:rFonts w:hint="eastAsia"/>
                <w:sz w:val="24"/>
                <w:szCs w:val="24"/>
              </w:rPr>
              <w:t>运输扬尘。</w:t>
            </w:r>
          </w:p>
          <w:p>
            <w:pPr>
              <w:autoSpaceDE w:val="0"/>
              <w:autoSpaceDN w:val="0"/>
              <w:spacing w:line="360" w:lineRule="auto"/>
              <w:jc w:val="left"/>
              <w:textAlignment w:val="auto"/>
              <w:rPr>
                <w:rFonts w:cs="宋体"/>
                <w:b/>
                <w:sz w:val="24"/>
                <w:szCs w:val="24"/>
              </w:rPr>
            </w:pPr>
            <w:r>
              <w:rPr>
                <w:rFonts w:hint="eastAsia"/>
                <w:b/>
                <w:sz w:val="24"/>
                <w:szCs w:val="24"/>
              </w:rPr>
              <w:t>规模1</w:t>
            </w:r>
            <w:r>
              <w:rPr>
                <w:b/>
                <w:sz w:val="24"/>
                <w:szCs w:val="24"/>
              </w:rPr>
              <w:t>20</w:t>
            </w:r>
            <w:r>
              <w:rPr>
                <w:rFonts w:hint="eastAsia"/>
                <w:b/>
                <w:sz w:val="24"/>
                <w:szCs w:val="24"/>
              </w:rPr>
              <w:t>t</w:t>
            </w:r>
            <w:r>
              <w:rPr>
                <w:b/>
                <w:sz w:val="24"/>
                <w:szCs w:val="24"/>
              </w:rPr>
              <w:t>/</w:t>
            </w:r>
            <w:r>
              <w:rPr>
                <w:rFonts w:hint="eastAsia"/>
                <w:b/>
                <w:sz w:val="24"/>
                <w:szCs w:val="24"/>
              </w:rPr>
              <w:t>d垃圾转运站</w:t>
            </w:r>
            <w:r>
              <w:rPr>
                <w:rFonts w:hint="eastAsia" w:cs="宋体"/>
                <w:b/>
                <w:sz w:val="24"/>
                <w:szCs w:val="24"/>
              </w:rPr>
              <w:t>工艺说明：</w:t>
            </w:r>
          </w:p>
          <w:p>
            <w:pPr>
              <w:autoSpaceDE w:val="0"/>
              <w:autoSpaceDN w:val="0"/>
              <w:spacing w:line="360" w:lineRule="auto"/>
              <w:ind w:firstLine="480" w:firstLineChars="200"/>
              <w:jc w:val="left"/>
              <w:textAlignment w:val="auto"/>
              <w:rPr>
                <w:rFonts w:cs="宋体"/>
                <w:sz w:val="24"/>
                <w:szCs w:val="24"/>
              </w:rPr>
            </w:pPr>
            <w:r>
              <w:rPr>
                <w:rFonts w:hint="eastAsia" w:cs="宋体"/>
                <w:sz w:val="24"/>
                <w:szCs w:val="24"/>
              </w:rPr>
              <w:t>①前端收集车（垃圾收集车、平板车、机动三轮车、扫地车等）将垃圾运至转运站，然后经过地磅计量。</w:t>
            </w:r>
          </w:p>
          <w:p>
            <w:pPr>
              <w:autoSpaceDE w:val="0"/>
              <w:autoSpaceDN w:val="0"/>
              <w:spacing w:line="360" w:lineRule="auto"/>
              <w:ind w:firstLine="480" w:firstLineChars="200"/>
              <w:jc w:val="left"/>
              <w:textAlignment w:val="auto"/>
              <w:rPr>
                <w:rFonts w:cs="宋体"/>
                <w:sz w:val="24"/>
                <w:szCs w:val="24"/>
              </w:rPr>
            </w:pPr>
            <w:r>
              <w:rPr>
                <w:rFonts w:hint="eastAsia" w:cs="宋体"/>
                <w:sz w:val="24"/>
                <w:szCs w:val="24"/>
              </w:rPr>
              <w:t>②收集车通过引桥运往二层平台，并将垃圾送至垃圾压缩机的卸料槽内。</w:t>
            </w:r>
          </w:p>
          <w:p>
            <w:pPr>
              <w:autoSpaceDE w:val="0"/>
              <w:autoSpaceDN w:val="0"/>
              <w:spacing w:line="360" w:lineRule="auto"/>
              <w:ind w:firstLine="480" w:firstLineChars="200"/>
              <w:jc w:val="left"/>
              <w:textAlignment w:val="auto"/>
              <w:rPr>
                <w:rFonts w:cs="宋体"/>
                <w:sz w:val="24"/>
                <w:szCs w:val="24"/>
              </w:rPr>
            </w:pPr>
            <w:r>
              <w:rPr>
                <w:rFonts w:hint="eastAsia" w:cs="宋体"/>
                <w:sz w:val="24"/>
                <w:szCs w:val="24"/>
              </w:rPr>
              <w:t>③垃圾由卸料槽送入压缩机的压缩腔，垃圾不断被推头推至箱体内进行压实。</w:t>
            </w:r>
          </w:p>
          <w:p>
            <w:pPr>
              <w:autoSpaceDE w:val="0"/>
              <w:autoSpaceDN w:val="0"/>
              <w:spacing w:line="360" w:lineRule="auto"/>
              <w:ind w:firstLine="480" w:firstLineChars="200"/>
              <w:jc w:val="left"/>
              <w:textAlignment w:val="auto"/>
              <w:rPr>
                <w:rFonts w:cs="宋体"/>
                <w:sz w:val="24"/>
                <w:szCs w:val="24"/>
              </w:rPr>
            </w:pPr>
            <w:r>
              <w:rPr>
                <w:rFonts w:hint="eastAsia" w:cs="宋体"/>
                <w:sz w:val="24"/>
                <w:szCs w:val="24"/>
              </w:rPr>
              <w:t>④箱体压满后，压缩机松开箱体，箱体移位机构将压满垃圾的箱体移动至转运工位，同时将空垃圾箱移位到压缩机对接为对接，最后车厢可卸式垃圾车通过拉臂钩将压满垃圾的箱体勾起运走，空垃圾箱与压缩机对接开始新的压缩作业循环。</w:t>
            </w:r>
          </w:p>
          <w:p>
            <w:pPr>
              <w:autoSpaceDE w:val="0"/>
              <w:autoSpaceDN w:val="0"/>
              <w:spacing w:line="360" w:lineRule="auto"/>
              <w:ind w:firstLine="480" w:firstLineChars="200"/>
              <w:jc w:val="left"/>
              <w:textAlignment w:val="auto"/>
              <w:rPr>
                <w:rFonts w:cs="宋体"/>
                <w:sz w:val="24"/>
                <w:szCs w:val="24"/>
              </w:rPr>
            </w:pPr>
            <w:r>
              <w:rPr>
                <w:rFonts w:hint="eastAsia" w:cs="宋体"/>
                <w:sz w:val="24"/>
                <w:szCs w:val="24"/>
              </w:rPr>
              <w:t>⑤车厢可卸式垃圾车将箱体运往垃圾处理场，打开箱体后门进行倾倒。</w:t>
            </w:r>
          </w:p>
          <w:p>
            <w:pPr>
              <w:spacing w:line="360" w:lineRule="auto"/>
              <w:jc w:val="center"/>
              <w:rPr>
                <w:sz w:val="24"/>
                <w:szCs w:val="24"/>
              </w:rPr>
            </w:pPr>
          </w:p>
          <w:p>
            <w:pPr>
              <w:spacing w:line="360" w:lineRule="auto"/>
              <w:jc w:val="center"/>
              <w:rPr>
                <w:sz w:val="24"/>
                <w:szCs w:val="24"/>
              </w:rPr>
            </w:pPr>
            <w:r>
              <w:rPr>
                <w:sz w:val="24"/>
                <w:szCs w:val="24"/>
              </w:rPr>
              <w:drawing>
                <wp:inline distT="0" distB="0" distL="0" distR="0">
                  <wp:extent cx="3322320" cy="28835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322800" cy="2883600"/>
                          </a:xfrm>
                          <a:prstGeom prst="rect">
                            <a:avLst/>
                          </a:prstGeom>
                        </pic:spPr>
                      </pic:pic>
                    </a:graphicData>
                  </a:graphic>
                </wp:inline>
              </w:drawing>
            </w:r>
          </w:p>
          <w:p>
            <w:pPr>
              <w:spacing w:line="360" w:lineRule="auto"/>
              <w:jc w:val="center"/>
              <w:rPr>
                <w:sz w:val="24"/>
                <w:szCs w:val="24"/>
              </w:rPr>
            </w:pPr>
          </w:p>
          <w:p>
            <w:pPr>
              <w:spacing w:line="360" w:lineRule="auto"/>
              <w:jc w:val="center"/>
              <w:rPr>
                <w:sz w:val="24"/>
                <w:szCs w:val="24"/>
              </w:rPr>
            </w:pPr>
          </w:p>
          <w:p>
            <w:pPr>
              <w:spacing w:line="360" w:lineRule="auto"/>
              <w:jc w:val="center"/>
              <w:rPr>
                <w:sz w:val="24"/>
                <w:szCs w:val="24"/>
              </w:rPr>
            </w:pPr>
            <w:r>
              <w:rPr>
                <w:sz w:val="24"/>
                <w:szCs w:val="24"/>
              </w:rPr>
              <w:drawing>
                <wp:inline distT="0" distB="0" distL="0" distR="0">
                  <wp:extent cx="5443855" cy="1672590"/>
                  <wp:effectExtent l="0" t="0" r="4445"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443855" cy="1672590"/>
                          </a:xfrm>
                          <a:prstGeom prst="rect">
                            <a:avLst/>
                          </a:prstGeom>
                        </pic:spPr>
                      </pic:pic>
                    </a:graphicData>
                  </a:graphic>
                </wp:inline>
              </w:drawing>
            </w:r>
          </w:p>
          <w:p>
            <w:pPr>
              <w:spacing w:line="360" w:lineRule="auto"/>
              <w:jc w:val="center"/>
              <w:rPr>
                <w:sz w:val="24"/>
                <w:szCs w:val="24"/>
              </w:rPr>
            </w:pPr>
            <w:r>
              <w:rPr>
                <w:sz w:val="24"/>
                <w:szCs w:val="24"/>
              </w:rPr>
              <w:t xml:space="preserve">图6 </w:t>
            </w:r>
            <w:r>
              <w:rPr>
                <w:rFonts w:hint="eastAsia"/>
                <w:sz w:val="24"/>
                <w:szCs w:val="24"/>
              </w:rPr>
              <w:t>寿王坟镇垃圾转运站运营期工程工艺</w:t>
            </w:r>
            <w:r>
              <w:rPr>
                <w:sz w:val="24"/>
                <w:szCs w:val="24"/>
              </w:rPr>
              <w:t>流程及产</w:t>
            </w:r>
            <w:r>
              <w:rPr>
                <w:rFonts w:hint="eastAsia"/>
                <w:sz w:val="24"/>
                <w:szCs w:val="24"/>
              </w:rPr>
              <w:t>污</w:t>
            </w:r>
            <w:r>
              <w:rPr>
                <w:sz w:val="24"/>
                <w:szCs w:val="24"/>
              </w:rPr>
              <w:t>节点示意图</w:t>
            </w:r>
          </w:p>
          <w:p>
            <w:pPr>
              <w:pStyle w:val="105"/>
              <w:spacing w:line="360" w:lineRule="auto"/>
              <w:ind w:firstLine="480" w:firstLineChars="200"/>
              <w:jc w:val="both"/>
              <w:rPr>
                <w:rFonts w:ascii="Times New Roman"/>
                <w:color w:val="auto"/>
              </w:rPr>
            </w:pPr>
            <w:r>
              <w:rPr>
                <w:rFonts w:hint="eastAsia" w:ascii="Times New Roman"/>
                <w:color w:val="auto"/>
              </w:rPr>
              <w:t>污染物标识符号：</w:t>
            </w:r>
          </w:p>
          <w:p>
            <w:pPr>
              <w:pStyle w:val="105"/>
              <w:spacing w:line="360" w:lineRule="auto"/>
              <w:ind w:firstLine="480" w:firstLineChars="200"/>
              <w:jc w:val="both"/>
              <w:rPr>
                <w:rFonts w:ascii="Times New Roman"/>
                <w:color w:val="auto"/>
              </w:rPr>
            </w:pPr>
            <w:r>
              <w:rPr>
                <w:rFonts w:hint="eastAsia" w:ascii="Times New Roman"/>
                <w:color w:val="auto"/>
              </w:rPr>
              <w:t>噪声：</w:t>
            </w:r>
            <w:r>
              <w:rPr>
                <w:rFonts w:ascii="Times New Roman" w:cs="Times New Roman"/>
                <w:color w:val="auto"/>
              </w:rPr>
              <w:t>N1</w:t>
            </w:r>
            <w:r>
              <w:rPr>
                <w:rFonts w:hint="eastAsia" w:ascii="Times New Roman"/>
                <w:color w:val="auto"/>
              </w:rPr>
              <w:t>机械设备噪声；</w:t>
            </w:r>
            <w:r>
              <w:rPr>
                <w:rFonts w:ascii="Times New Roman" w:cs="Times New Roman"/>
                <w:color w:val="auto"/>
              </w:rPr>
              <w:t>N2</w:t>
            </w:r>
            <w:r>
              <w:rPr>
                <w:rFonts w:hint="eastAsia" w:ascii="Times New Roman"/>
                <w:color w:val="auto"/>
              </w:rPr>
              <w:t>汽车噪声；</w:t>
            </w:r>
          </w:p>
          <w:p>
            <w:pPr>
              <w:pStyle w:val="105"/>
              <w:spacing w:line="360" w:lineRule="auto"/>
              <w:ind w:firstLine="480" w:firstLineChars="200"/>
              <w:jc w:val="both"/>
              <w:rPr>
                <w:rFonts w:ascii="Times New Roman"/>
                <w:color w:val="auto"/>
              </w:rPr>
            </w:pPr>
            <w:r>
              <w:rPr>
                <w:rFonts w:hint="eastAsia" w:ascii="Times New Roman"/>
                <w:color w:val="auto"/>
              </w:rPr>
              <w:t>废水：</w:t>
            </w:r>
            <w:r>
              <w:rPr>
                <w:rFonts w:ascii="Times New Roman" w:cs="Times New Roman"/>
                <w:color w:val="auto"/>
              </w:rPr>
              <w:t>W1</w:t>
            </w:r>
            <w:r>
              <w:rPr>
                <w:rFonts w:hint="eastAsia" w:ascii="Times New Roman"/>
                <w:color w:val="auto"/>
              </w:rPr>
              <w:t>渗滤液；</w:t>
            </w:r>
            <w:r>
              <w:rPr>
                <w:rFonts w:ascii="Times New Roman" w:cs="Times New Roman"/>
                <w:color w:val="auto"/>
              </w:rPr>
              <w:t>W2</w:t>
            </w:r>
            <w:r>
              <w:rPr>
                <w:rFonts w:hint="eastAsia" w:ascii="Times New Roman"/>
                <w:color w:val="auto"/>
              </w:rPr>
              <w:t>冲洗废水；</w:t>
            </w:r>
          </w:p>
          <w:p>
            <w:pPr>
              <w:spacing w:line="360" w:lineRule="auto"/>
              <w:ind w:firstLine="480" w:firstLineChars="200"/>
              <w:rPr>
                <w:sz w:val="24"/>
                <w:szCs w:val="24"/>
              </w:rPr>
            </w:pPr>
            <w:r>
              <w:rPr>
                <w:rFonts w:hint="eastAsia"/>
                <w:sz w:val="24"/>
                <w:szCs w:val="24"/>
              </w:rPr>
              <w:t>废气：</w:t>
            </w:r>
            <w:r>
              <w:rPr>
                <w:sz w:val="24"/>
                <w:szCs w:val="24"/>
              </w:rPr>
              <w:t>G1</w:t>
            </w:r>
            <w:r>
              <w:rPr>
                <w:rFonts w:hint="eastAsia"/>
                <w:sz w:val="24"/>
                <w:szCs w:val="24"/>
              </w:rPr>
              <w:t>恶臭；</w:t>
            </w:r>
            <w:r>
              <w:rPr>
                <w:sz w:val="24"/>
                <w:szCs w:val="24"/>
              </w:rPr>
              <w:t>G2</w:t>
            </w:r>
            <w:r>
              <w:rPr>
                <w:rFonts w:hint="eastAsia"/>
                <w:sz w:val="24"/>
                <w:szCs w:val="24"/>
              </w:rPr>
              <w:t>运输扬尘。</w:t>
            </w:r>
          </w:p>
          <w:p>
            <w:pPr>
              <w:autoSpaceDE w:val="0"/>
              <w:autoSpaceDN w:val="0"/>
              <w:spacing w:line="360" w:lineRule="auto"/>
              <w:jc w:val="left"/>
              <w:textAlignment w:val="auto"/>
              <w:rPr>
                <w:rFonts w:cs="宋体"/>
                <w:b/>
                <w:sz w:val="24"/>
                <w:szCs w:val="24"/>
              </w:rPr>
            </w:pPr>
            <w:r>
              <w:rPr>
                <w:rFonts w:hint="eastAsia"/>
                <w:b/>
                <w:sz w:val="24"/>
                <w:szCs w:val="24"/>
              </w:rPr>
              <w:t>规模</w:t>
            </w:r>
            <w:r>
              <w:rPr>
                <w:b/>
                <w:sz w:val="24"/>
                <w:szCs w:val="24"/>
              </w:rPr>
              <w:t>20</w:t>
            </w:r>
            <w:r>
              <w:rPr>
                <w:rFonts w:hint="eastAsia"/>
                <w:b/>
                <w:sz w:val="24"/>
                <w:szCs w:val="24"/>
              </w:rPr>
              <w:t>t</w:t>
            </w:r>
            <w:r>
              <w:rPr>
                <w:b/>
                <w:sz w:val="24"/>
                <w:szCs w:val="24"/>
              </w:rPr>
              <w:t>/</w:t>
            </w:r>
            <w:r>
              <w:rPr>
                <w:rFonts w:hint="eastAsia"/>
                <w:b/>
                <w:sz w:val="24"/>
                <w:szCs w:val="24"/>
              </w:rPr>
              <w:t>d垃圾转运站</w:t>
            </w:r>
            <w:r>
              <w:rPr>
                <w:rFonts w:hint="eastAsia" w:cs="宋体"/>
                <w:b/>
                <w:sz w:val="24"/>
                <w:szCs w:val="24"/>
              </w:rPr>
              <w:t>工艺说明：</w:t>
            </w:r>
          </w:p>
          <w:p>
            <w:pPr>
              <w:autoSpaceDE w:val="0"/>
              <w:autoSpaceDN w:val="0"/>
              <w:spacing w:line="360" w:lineRule="auto"/>
              <w:ind w:firstLine="480" w:firstLineChars="200"/>
              <w:jc w:val="left"/>
              <w:textAlignment w:val="auto"/>
              <w:rPr>
                <w:rFonts w:cs="宋体"/>
                <w:sz w:val="24"/>
                <w:szCs w:val="24"/>
              </w:rPr>
            </w:pPr>
            <w:r>
              <w:rPr>
                <w:rFonts w:hint="eastAsia" w:cs="宋体"/>
                <w:sz w:val="24"/>
                <w:szCs w:val="24"/>
              </w:rPr>
              <w:t>该转运站使用水平一体式垃圾压缩箱，该设备由垃圾储存箱、压缩机构、翻斗机构、电液控制系统等组成，配套拉臂车移动使用。设备具有结构紧凑、布置灵活、操作方便、不需建设厂房和基础等特点，适用于街道社区、医院、学校、公园、广场等各种垃圾收集转运的场所。</w:t>
            </w:r>
          </w:p>
          <w:p>
            <w:pPr>
              <w:autoSpaceDE w:val="0"/>
              <w:autoSpaceDN w:val="0"/>
              <w:spacing w:line="360" w:lineRule="auto"/>
              <w:jc w:val="left"/>
              <w:textAlignment w:val="auto"/>
              <w:rPr>
                <w:b/>
                <w:bCs/>
                <w:sz w:val="24"/>
                <w:szCs w:val="24"/>
              </w:rPr>
            </w:pPr>
            <w:r>
              <w:rPr>
                <w:rFonts w:hint="eastAsia"/>
                <w:b/>
                <w:bCs/>
                <w:sz w:val="24"/>
                <w:szCs w:val="24"/>
              </w:rPr>
              <w:t>垃圾转运站配套设备</w:t>
            </w:r>
            <w:r>
              <w:rPr>
                <w:b/>
                <w:bCs/>
                <w:sz w:val="24"/>
                <w:szCs w:val="24"/>
              </w:rPr>
              <w:t>简述：</w:t>
            </w:r>
          </w:p>
          <w:p>
            <w:pPr>
              <w:autoSpaceDE w:val="0"/>
              <w:autoSpaceDN w:val="0"/>
              <w:spacing w:line="360" w:lineRule="auto"/>
              <w:ind w:firstLine="480" w:firstLineChars="200"/>
              <w:jc w:val="left"/>
              <w:textAlignment w:val="auto"/>
              <w:rPr>
                <w:rFonts w:cs="宋体"/>
                <w:bCs/>
                <w:sz w:val="24"/>
                <w:szCs w:val="24"/>
              </w:rPr>
            </w:pPr>
            <w:r>
              <w:rPr>
                <w:rFonts w:hint="eastAsia" w:cs="宋体"/>
                <w:bCs/>
                <w:sz w:val="24"/>
                <w:szCs w:val="24"/>
              </w:rPr>
              <w:t>垃圾中转站工作时，垃圾随季节变化滞留时间长短，会不同程度地散发着恶臭气体。造成恶臭的主要气体成分为：氨、硫化氢、甲硫醇、甲硫醚等。这些有害物质会通过每个车位的倾倒口向外逸出。必须采取有效措施，控制粉尘和恶臭对环境的污染，为此设置除尘、除臭系统，对料仓散发的含尘臭气进行净化处理，工艺流程如图</w:t>
            </w:r>
            <w:r>
              <w:rPr>
                <w:rFonts w:cs="宋体"/>
                <w:bCs/>
                <w:sz w:val="24"/>
                <w:szCs w:val="24"/>
              </w:rPr>
              <w:t>7</w:t>
            </w:r>
            <w:r>
              <w:rPr>
                <w:rFonts w:hint="eastAsia" w:cs="宋体"/>
                <w:bCs/>
                <w:sz w:val="24"/>
                <w:szCs w:val="24"/>
              </w:rPr>
              <w:t>所示。</w:t>
            </w:r>
          </w:p>
          <w:p>
            <w:pPr>
              <w:autoSpaceDE w:val="0"/>
              <w:autoSpaceDN w:val="0"/>
              <w:spacing w:line="360" w:lineRule="auto"/>
              <w:jc w:val="center"/>
              <w:textAlignment w:val="auto"/>
              <w:rPr>
                <w:b/>
                <w:bCs/>
                <w:sz w:val="24"/>
                <w:szCs w:val="24"/>
              </w:rPr>
            </w:pPr>
            <w:r>
              <w:rPr>
                <w:rFonts w:hint="eastAsia"/>
                <w:b/>
                <w:bCs/>
                <w:sz w:val="24"/>
                <w:szCs w:val="24"/>
              </w:rPr>
              <w:drawing>
                <wp:inline distT="0" distB="0" distL="0" distR="0">
                  <wp:extent cx="2959735" cy="277177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963845" cy="2775236"/>
                          </a:xfrm>
                          <a:prstGeom prst="rect">
                            <a:avLst/>
                          </a:prstGeom>
                        </pic:spPr>
                      </pic:pic>
                    </a:graphicData>
                  </a:graphic>
                </wp:inline>
              </w:drawing>
            </w:r>
          </w:p>
          <w:p>
            <w:pPr>
              <w:autoSpaceDE w:val="0"/>
              <w:autoSpaceDN w:val="0"/>
              <w:spacing w:line="360" w:lineRule="auto"/>
              <w:jc w:val="center"/>
              <w:textAlignment w:val="auto"/>
              <w:rPr>
                <w:b/>
                <w:bCs/>
                <w:sz w:val="24"/>
                <w:szCs w:val="24"/>
              </w:rPr>
            </w:pPr>
            <w:r>
              <w:rPr>
                <w:rFonts w:hint="eastAsia" w:cs="宋体"/>
                <w:b/>
                <w:bCs/>
                <w:sz w:val="28"/>
                <w:szCs w:val="28"/>
              </w:rPr>
              <w:drawing>
                <wp:inline distT="0" distB="0" distL="0" distR="0">
                  <wp:extent cx="5170805" cy="2486025"/>
                  <wp:effectExtent l="0" t="0" r="0" b="0"/>
                  <wp:docPr id="49" name="图片 49" descr="除尘除臭系统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除尘除臭系统工艺流程图"/>
                          <pic:cNvPicPr>
                            <a:picLocks noChangeAspect="1" noChangeArrowheads="1"/>
                          </pic:cNvPicPr>
                        </pic:nvPicPr>
                        <pic:blipFill>
                          <a:blip r:embed="rId23" cstate="print">
                            <a:extLst>
                              <a:ext uri="{28A0092B-C50C-407E-A947-70E740481C1C}">
                                <a14:useLocalDpi xmlns:a14="http://schemas.microsoft.com/office/drawing/2010/main" val="0"/>
                              </a:ext>
                            </a:extLst>
                          </a:blip>
                          <a:srcRect l="21541" t="28229" r="20000" b="3464"/>
                          <a:stretch>
                            <a:fillRect/>
                          </a:stretch>
                        </pic:blipFill>
                        <pic:spPr>
                          <a:xfrm>
                            <a:off x="0" y="0"/>
                            <a:ext cx="5184507" cy="2492613"/>
                          </a:xfrm>
                          <a:prstGeom prst="rect">
                            <a:avLst/>
                          </a:prstGeom>
                          <a:noFill/>
                          <a:ln>
                            <a:noFill/>
                          </a:ln>
                        </pic:spPr>
                      </pic:pic>
                    </a:graphicData>
                  </a:graphic>
                </wp:inline>
              </w:drawing>
            </w:r>
          </w:p>
          <w:p>
            <w:pPr>
              <w:spacing w:line="360" w:lineRule="auto"/>
              <w:jc w:val="center"/>
              <w:rPr>
                <w:sz w:val="24"/>
                <w:szCs w:val="24"/>
              </w:rPr>
            </w:pPr>
            <w:r>
              <w:rPr>
                <w:rFonts w:hint="eastAsia"/>
                <w:sz w:val="24"/>
                <w:szCs w:val="24"/>
              </w:rPr>
              <w:t>图</w:t>
            </w:r>
            <w:r>
              <w:rPr>
                <w:sz w:val="24"/>
                <w:szCs w:val="24"/>
              </w:rPr>
              <w:t xml:space="preserve">7 </w:t>
            </w:r>
            <w:r>
              <w:rPr>
                <w:rFonts w:hint="eastAsia"/>
                <w:sz w:val="24"/>
                <w:szCs w:val="24"/>
              </w:rPr>
              <w:t>除尘、除臭系统及工艺流程</w:t>
            </w:r>
          </w:p>
          <w:p>
            <w:pPr>
              <w:spacing w:line="360" w:lineRule="auto"/>
              <w:ind w:firstLine="600"/>
              <w:rPr>
                <w:sz w:val="24"/>
                <w:szCs w:val="24"/>
              </w:rPr>
            </w:pPr>
            <w:r>
              <w:rPr>
                <w:rFonts w:hint="eastAsia"/>
                <w:sz w:val="24"/>
                <w:szCs w:val="24"/>
              </w:rPr>
              <w:t>本项目加装最为有效地治理垃圾站臭气、粉尘污染的工艺为：负压抽风净化+雾化喷淋+生物除臭剂。雾化除臭设备主机（见图</w:t>
            </w:r>
            <w:r>
              <w:rPr>
                <w:sz w:val="24"/>
                <w:szCs w:val="24"/>
              </w:rPr>
              <w:t>8</w:t>
            </w:r>
            <w:r>
              <w:rPr>
                <w:rFonts w:hint="eastAsia"/>
                <w:sz w:val="24"/>
                <w:szCs w:val="24"/>
              </w:rPr>
              <w:t>）包含高压柱塞泵、自动/手动控制系统、水箱和净化水系统。通过环绕式架设高压PE管线及微雾喷头，将水雾弥漫于车间内可有效压制粉尘；同时，生物除臭剂在水箱内稀释后经过高压柱塞泵的作用流经PE管从喷头中雾化喷出，水雾中含有的除臭剂可以有效降解生活垃圾因发酵产生的硫化氢、氨气、甲硫醇等有害气体，从而达到除臭的目的。除臭剂为天然微生物制剂，呈中性，对人体及设备不会造成任何损害。</w:t>
            </w:r>
          </w:p>
          <w:p>
            <w:pPr>
              <w:spacing w:line="360" w:lineRule="auto"/>
              <w:jc w:val="center"/>
              <w:rPr>
                <w:sz w:val="24"/>
                <w:szCs w:val="24"/>
              </w:rPr>
            </w:pPr>
            <w:r>
              <w:rPr>
                <w:b/>
                <w:bCs/>
                <w:sz w:val="24"/>
                <w:szCs w:val="24"/>
              </w:rPr>
              <w:drawing>
                <wp:inline distT="0" distB="0" distL="0" distR="0">
                  <wp:extent cx="2926080" cy="3596640"/>
                  <wp:effectExtent l="0" t="0" r="7620" b="3810"/>
                  <wp:docPr id="38" name="图片 38" descr="SAM_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SAM_15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926080" cy="3596640"/>
                          </a:xfrm>
                          <a:prstGeom prst="rect">
                            <a:avLst/>
                          </a:prstGeom>
                          <a:noFill/>
                          <a:ln>
                            <a:noFill/>
                          </a:ln>
                        </pic:spPr>
                      </pic:pic>
                    </a:graphicData>
                  </a:graphic>
                </wp:inline>
              </w:drawing>
            </w:r>
          </w:p>
          <w:p>
            <w:pPr>
              <w:spacing w:line="360" w:lineRule="auto"/>
              <w:jc w:val="center"/>
              <w:rPr>
                <w:sz w:val="24"/>
                <w:szCs w:val="24"/>
              </w:rPr>
            </w:pPr>
            <w:r>
              <w:rPr>
                <w:rFonts w:hint="eastAsia"/>
                <w:sz w:val="24"/>
                <w:szCs w:val="24"/>
              </w:rPr>
              <w:t>图</w:t>
            </w:r>
            <w:r>
              <w:rPr>
                <w:sz w:val="24"/>
                <w:szCs w:val="24"/>
              </w:rPr>
              <w:t xml:space="preserve">8 </w:t>
            </w:r>
            <w:r>
              <w:rPr>
                <w:rFonts w:hint="eastAsia"/>
                <w:sz w:val="24"/>
                <w:szCs w:val="24"/>
              </w:rPr>
              <w:t>雾化除臭设备主机</w:t>
            </w:r>
          </w:p>
          <w:p>
            <w:pPr>
              <w:pStyle w:val="93"/>
              <w:spacing w:line="360" w:lineRule="auto"/>
              <w:ind w:firstLine="0" w:firstLineChars="0"/>
              <w:jc w:val="left"/>
              <w:rPr>
                <w:b/>
                <w:bCs/>
                <w:sz w:val="24"/>
                <w:szCs w:val="24"/>
              </w:rPr>
            </w:pPr>
            <w:r>
              <w:rPr>
                <w:b/>
                <w:bCs/>
                <w:sz w:val="24"/>
                <w:szCs w:val="24"/>
              </w:rPr>
              <w:t>主要污染工序：</w:t>
            </w:r>
          </w:p>
          <w:p>
            <w:pPr>
              <w:widowControl/>
              <w:spacing w:line="360" w:lineRule="auto"/>
              <w:ind w:firstLine="480" w:firstLineChars="200"/>
              <w:rPr>
                <w:sz w:val="24"/>
                <w:szCs w:val="24"/>
              </w:rPr>
            </w:pPr>
            <w:r>
              <w:rPr>
                <w:sz w:val="24"/>
                <w:szCs w:val="24"/>
              </w:rPr>
              <w:t>本项目污染源分为两大部分，一是工程施工期产生的污染源，二是项目建成投入使用后产生的污染源。</w:t>
            </w:r>
          </w:p>
          <w:bookmarkEnd w:id="17"/>
          <w:p>
            <w:pPr>
              <w:numPr>
                <w:ilvl w:val="0"/>
                <w:numId w:val="1"/>
              </w:numPr>
              <w:spacing w:line="360" w:lineRule="auto"/>
              <w:ind w:firstLine="482" w:firstLineChars="200"/>
              <w:rPr>
                <w:b/>
                <w:snapToGrid w:val="0"/>
                <w:sz w:val="24"/>
                <w:szCs w:val="24"/>
              </w:rPr>
            </w:pPr>
            <w:r>
              <w:rPr>
                <w:b/>
                <w:snapToGrid w:val="0"/>
                <w:sz w:val="24"/>
                <w:szCs w:val="24"/>
              </w:rPr>
              <w:t>施工期</w:t>
            </w:r>
            <w:r>
              <w:rPr>
                <w:rFonts w:hint="eastAsia"/>
                <w:b/>
                <w:snapToGrid w:val="0"/>
                <w:sz w:val="24"/>
                <w:szCs w:val="24"/>
              </w:rPr>
              <w:t>主要污染工序</w:t>
            </w:r>
          </w:p>
          <w:p>
            <w:pPr>
              <w:spacing w:line="360" w:lineRule="auto"/>
              <w:ind w:firstLine="480" w:firstLineChars="200"/>
              <w:rPr>
                <w:sz w:val="24"/>
                <w:szCs w:val="24"/>
              </w:rPr>
            </w:pPr>
            <w:r>
              <w:rPr>
                <w:sz w:val="24"/>
                <w:szCs w:val="24"/>
              </w:rPr>
              <w:t>施工期主要污染源有：施工期机械噪声、扬尘、生活废水及固体废物。</w:t>
            </w:r>
          </w:p>
          <w:p>
            <w:pPr>
              <w:spacing w:line="360" w:lineRule="auto"/>
              <w:ind w:firstLine="480" w:firstLineChars="200"/>
              <w:rPr>
                <w:sz w:val="24"/>
                <w:szCs w:val="24"/>
              </w:rPr>
            </w:pPr>
            <w:r>
              <w:rPr>
                <w:sz w:val="24"/>
                <w:szCs w:val="24"/>
              </w:rPr>
              <w:t>施工期主要污染源随着施工阶段的不同略有差异，且施工期污染物的排放均呈阶段排放特征。</w:t>
            </w:r>
          </w:p>
          <w:p>
            <w:pPr>
              <w:spacing w:line="360" w:lineRule="auto"/>
              <w:ind w:firstLine="480" w:firstLineChars="200"/>
              <w:rPr>
                <w:sz w:val="24"/>
                <w:szCs w:val="24"/>
              </w:rPr>
            </w:pPr>
            <w:r>
              <w:rPr>
                <w:sz w:val="24"/>
                <w:szCs w:val="24"/>
              </w:rPr>
              <w:t>(1)大气污染源：在场地平整、挖土、推土及沙石、水泥等的装卸、运输过程中有尘埃散逸，汽车运送建筑材料引起道路扬尘等。</w:t>
            </w:r>
          </w:p>
          <w:p>
            <w:pPr>
              <w:spacing w:line="360" w:lineRule="auto"/>
              <w:ind w:firstLine="480" w:firstLineChars="200"/>
              <w:rPr>
                <w:sz w:val="24"/>
                <w:szCs w:val="24"/>
              </w:rPr>
            </w:pPr>
            <w:r>
              <w:rPr>
                <w:sz w:val="24"/>
                <w:szCs w:val="24"/>
              </w:rPr>
              <w:t>(2)水环境污染源：包括施工人员生活废水</w:t>
            </w:r>
            <w:r>
              <w:rPr>
                <w:rFonts w:hint="eastAsia"/>
                <w:sz w:val="24"/>
                <w:szCs w:val="24"/>
              </w:rPr>
              <w:t>及施工废水</w:t>
            </w:r>
            <w:r>
              <w:rPr>
                <w:sz w:val="24"/>
                <w:szCs w:val="24"/>
              </w:rPr>
              <w:t>。</w:t>
            </w:r>
          </w:p>
          <w:p>
            <w:pPr>
              <w:spacing w:line="360" w:lineRule="auto"/>
              <w:ind w:firstLine="480" w:firstLineChars="200"/>
              <w:rPr>
                <w:sz w:val="24"/>
                <w:szCs w:val="24"/>
              </w:rPr>
            </w:pPr>
            <w:r>
              <w:rPr>
                <w:rFonts w:hint="eastAsia"/>
                <w:sz w:val="24"/>
                <w:szCs w:val="24"/>
              </w:rPr>
              <w:t>生活污水主要为施工人员清洁用水。施工人员生活用水量按</w:t>
            </w:r>
            <w:r>
              <w:rPr>
                <w:sz w:val="24"/>
                <w:szCs w:val="24"/>
              </w:rPr>
              <w:t>40L/</w:t>
            </w:r>
            <w:r>
              <w:rPr>
                <w:rFonts w:hint="eastAsia"/>
                <w:sz w:val="24"/>
                <w:szCs w:val="24"/>
              </w:rPr>
              <w:t>人</w:t>
            </w:r>
            <w:r>
              <w:rPr>
                <w:sz w:val="24"/>
                <w:szCs w:val="24"/>
              </w:rPr>
              <w:t xml:space="preserve">·d </w:t>
            </w:r>
            <w:r>
              <w:rPr>
                <w:rFonts w:hint="eastAsia"/>
                <w:sz w:val="24"/>
                <w:szCs w:val="24"/>
              </w:rPr>
              <w:t>计，预计项目施工平均人数约</w:t>
            </w:r>
            <w:r>
              <w:rPr>
                <w:sz w:val="24"/>
                <w:szCs w:val="24"/>
              </w:rPr>
              <w:t>100</w:t>
            </w:r>
            <w:r>
              <w:rPr>
                <w:rFonts w:hint="eastAsia"/>
                <w:sz w:val="24"/>
                <w:szCs w:val="24"/>
              </w:rPr>
              <w:t>人</w:t>
            </w:r>
            <w:r>
              <w:rPr>
                <w:sz w:val="24"/>
                <w:szCs w:val="24"/>
              </w:rPr>
              <w:t>/</w:t>
            </w:r>
            <w:r>
              <w:rPr>
                <w:rFonts w:hint="eastAsia"/>
                <w:sz w:val="24"/>
                <w:szCs w:val="24"/>
              </w:rPr>
              <w:t>d，施工期内生活用水量为</w:t>
            </w:r>
            <w:r>
              <w:rPr>
                <w:sz w:val="24"/>
                <w:szCs w:val="24"/>
              </w:rPr>
              <w:t>4m</w:t>
            </w:r>
            <w:r>
              <w:rPr>
                <w:sz w:val="24"/>
                <w:szCs w:val="24"/>
                <w:vertAlign w:val="superscript"/>
              </w:rPr>
              <w:t>3</w:t>
            </w:r>
            <w:r>
              <w:rPr>
                <w:sz w:val="24"/>
                <w:szCs w:val="24"/>
              </w:rPr>
              <w:t>/d</w:t>
            </w:r>
            <w:r>
              <w:rPr>
                <w:rFonts w:hint="eastAsia"/>
                <w:sz w:val="24"/>
                <w:szCs w:val="24"/>
              </w:rPr>
              <w:t>，排水量按用水量的</w:t>
            </w:r>
            <w:r>
              <w:rPr>
                <w:sz w:val="24"/>
                <w:szCs w:val="24"/>
              </w:rPr>
              <w:t>80%</w:t>
            </w:r>
            <w:r>
              <w:rPr>
                <w:rFonts w:hint="eastAsia"/>
                <w:sz w:val="24"/>
                <w:szCs w:val="24"/>
              </w:rPr>
              <w:t>计算，则生活污水产生量为</w:t>
            </w:r>
            <w:r>
              <w:rPr>
                <w:sz w:val="24"/>
                <w:szCs w:val="24"/>
              </w:rPr>
              <w:t>3.2m</w:t>
            </w:r>
            <w:r>
              <w:rPr>
                <w:sz w:val="24"/>
                <w:szCs w:val="24"/>
                <w:vertAlign w:val="superscript"/>
              </w:rPr>
              <w:t>3</w:t>
            </w:r>
            <w:r>
              <w:rPr>
                <w:sz w:val="24"/>
                <w:szCs w:val="24"/>
              </w:rPr>
              <w:t>/d</w:t>
            </w:r>
            <w:r>
              <w:rPr>
                <w:rFonts w:hint="eastAsia"/>
                <w:sz w:val="24"/>
                <w:szCs w:val="24"/>
              </w:rPr>
              <w:t>。施工期间生活污水中主要污染物的负荷量按城市中等浓度生活污水水质进行预测，COD</w:t>
            </w:r>
            <w:r>
              <w:rPr>
                <w:rFonts w:hint="eastAsia"/>
                <w:sz w:val="24"/>
                <w:szCs w:val="24"/>
                <w:vertAlign w:val="subscript"/>
              </w:rPr>
              <w:t>cr</w:t>
            </w:r>
            <w:r>
              <w:rPr>
                <w:rFonts w:hint="eastAsia"/>
                <w:sz w:val="24"/>
                <w:szCs w:val="24"/>
              </w:rPr>
              <w:t>（4</w:t>
            </w:r>
            <w:r>
              <w:rPr>
                <w:sz w:val="24"/>
                <w:szCs w:val="24"/>
              </w:rPr>
              <w:t>00</w:t>
            </w:r>
            <w:r>
              <w:rPr>
                <w:rFonts w:hint="eastAsia"/>
                <w:sz w:val="24"/>
                <w:szCs w:val="24"/>
              </w:rPr>
              <w:t>mg</w:t>
            </w:r>
            <w:r>
              <w:rPr>
                <w:sz w:val="24"/>
                <w:szCs w:val="24"/>
              </w:rPr>
              <w:t>/</w:t>
            </w:r>
            <w:r>
              <w:rPr>
                <w:rFonts w:hint="eastAsia"/>
                <w:sz w:val="24"/>
                <w:szCs w:val="24"/>
              </w:rPr>
              <w:t>L）、BOD</w:t>
            </w:r>
            <w:r>
              <w:rPr>
                <w:sz w:val="24"/>
                <w:szCs w:val="24"/>
                <w:vertAlign w:val="subscript"/>
              </w:rPr>
              <w:t>5</w:t>
            </w:r>
            <w:r>
              <w:rPr>
                <w:rFonts w:hint="eastAsia"/>
                <w:sz w:val="24"/>
                <w:szCs w:val="24"/>
              </w:rPr>
              <w:t>（2</w:t>
            </w:r>
            <w:r>
              <w:rPr>
                <w:sz w:val="24"/>
                <w:szCs w:val="24"/>
              </w:rPr>
              <w:t>00</w:t>
            </w:r>
            <w:r>
              <w:rPr>
                <w:rFonts w:hint="eastAsia"/>
                <w:sz w:val="24"/>
                <w:szCs w:val="24"/>
              </w:rPr>
              <w:t>mg</w:t>
            </w:r>
            <w:r>
              <w:rPr>
                <w:sz w:val="24"/>
                <w:szCs w:val="24"/>
              </w:rPr>
              <w:t>/</w:t>
            </w:r>
            <w:r>
              <w:rPr>
                <w:rFonts w:hint="eastAsia"/>
                <w:sz w:val="24"/>
                <w:szCs w:val="24"/>
              </w:rPr>
              <w:t>L）、SS（2</w:t>
            </w:r>
            <w:r>
              <w:rPr>
                <w:sz w:val="24"/>
                <w:szCs w:val="24"/>
              </w:rPr>
              <w:t>20</w:t>
            </w:r>
            <w:r>
              <w:rPr>
                <w:rFonts w:hint="eastAsia"/>
                <w:sz w:val="24"/>
                <w:szCs w:val="24"/>
              </w:rPr>
              <w:t>mg</w:t>
            </w:r>
            <w:r>
              <w:rPr>
                <w:sz w:val="24"/>
                <w:szCs w:val="24"/>
              </w:rPr>
              <w:t>/</w:t>
            </w:r>
            <w:r>
              <w:rPr>
                <w:rFonts w:hint="eastAsia"/>
                <w:sz w:val="24"/>
                <w:szCs w:val="24"/>
              </w:rPr>
              <w:t>L）、氨氮（2</w:t>
            </w:r>
            <w:r>
              <w:rPr>
                <w:sz w:val="24"/>
                <w:szCs w:val="24"/>
              </w:rPr>
              <w:t>5</w:t>
            </w:r>
            <w:r>
              <w:rPr>
                <w:rFonts w:hint="eastAsia"/>
                <w:sz w:val="24"/>
                <w:szCs w:val="24"/>
              </w:rPr>
              <w:t>mg</w:t>
            </w:r>
            <w:r>
              <w:rPr>
                <w:sz w:val="24"/>
                <w:szCs w:val="24"/>
              </w:rPr>
              <w:t>/</w:t>
            </w:r>
            <w:r>
              <w:rPr>
                <w:rFonts w:hint="eastAsia"/>
                <w:sz w:val="24"/>
                <w:szCs w:val="24"/>
              </w:rPr>
              <w:t>L）。施工期生活污水排入防渗旱厕。</w:t>
            </w:r>
          </w:p>
          <w:p>
            <w:pPr>
              <w:spacing w:line="360" w:lineRule="auto"/>
              <w:ind w:firstLine="480" w:firstLineChars="200"/>
              <w:rPr>
                <w:sz w:val="24"/>
                <w:szCs w:val="24"/>
              </w:rPr>
            </w:pPr>
            <w:r>
              <w:rPr>
                <w:rFonts w:hint="eastAsia"/>
                <w:sz w:val="24"/>
                <w:szCs w:val="24"/>
              </w:rPr>
              <w:t>施工废水主要产生于构件与建筑材料的保湿、材料的拌制等施工工序，废水主要污染物为泥沙、悬浮物等。</w:t>
            </w:r>
          </w:p>
          <w:p>
            <w:pPr>
              <w:spacing w:line="360" w:lineRule="auto"/>
              <w:ind w:firstLine="480" w:firstLineChars="200"/>
              <w:rPr>
                <w:sz w:val="24"/>
                <w:szCs w:val="24"/>
              </w:rPr>
            </w:pPr>
            <w:r>
              <w:rPr>
                <w:sz w:val="24"/>
                <w:szCs w:val="24"/>
              </w:rPr>
              <w:t>(3)噪声污染源：在基础挖掘、物料运输、混凝土浇注、建筑作业及房屋装修过程中，会有噪声产生。</w:t>
            </w:r>
          </w:p>
          <w:p>
            <w:pPr>
              <w:spacing w:line="360" w:lineRule="auto"/>
              <w:ind w:firstLine="480" w:firstLineChars="200"/>
              <w:rPr>
                <w:sz w:val="24"/>
                <w:szCs w:val="24"/>
              </w:rPr>
            </w:pPr>
            <w:r>
              <w:rPr>
                <w:sz w:val="24"/>
                <w:szCs w:val="24"/>
              </w:rPr>
              <w:t>(4)固体废物污染源：在地基开挖、建设过程中产生的建筑垃圾，施工人员会产生少量的生活垃圾</w:t>
            </w:r>
            <w:r>
              <w:rPr>
                <w:rFonts w:hint="eastAsia"/>
                <w:sz w:val="24"/>
                <w:szCs w:val="24"/>
              </w:rPr>
              <w:t>。本项目建筑面积为</w:t>
            </w:r>
            <w:r>
              <w:rPr>
                <w:sz w:val="24"/>
                <w:szCs w:val="24"/>
              </w:rPr>
              <w:t>3135m</w:t>
            </w:r>
            <w:r>
              <w:rPr>
                <w:sz w:val="24"/>
                <w:szCs w:val="24"/>
                <w:vertAlign w:val="superscript"/>
              </w:rPr>
              <w:t>2</w:t>
            </w:r>
            <w:r>
              <w:rPr>
                <w:rFonts w:hint="eastAsia"/>
                <w:sz w:val="24"/>
                <w:szCs w:val="24"/>
              </w:rPr>
              <w:t>，按单位施工废物生产量</w:t>
            </w:r>
            <w:r>
              <w:rPr>
                <w:sz w:val="24"/>
                <w:szCs w:val="24"/>
              </w:rPr>
              <w:t>15kg/m</w:t>
            </w:r>
            <w:r>
              <w:rPr>
                <w:sz w:val="24"/>
                <w:szCs w:val="24"/>
                <w:vertAlign w:val="superscript"/>
              </w:rPr>
              <w:t>2</w:t>
            </w:r>
            <w:r>
              <w:rPr>
                <w:rFonts w:hint="eastAsia"/>
                <w:sz w:val="24"/>
                <w:szCs w:val="24"/>
              </w:rPr>
              <w:t>估算，则产生的施工废物约为</w:t>
            </w:r>
            <w:r>
              <w:rPr>
                <w:sz w:val="24"/>
                <w:szCs w:val="24"/>
              </w:rPr>
              <w:t>47.025t</w:t>
            </w:r>
            <w:r>
              <w:rPr>
                <w:rFonts w:hint="eastAsia"/>
                <w:sz w:val="24"/>
                <w:szCs w:val="24"/>
              </w:rPr>
              <w:t>。本项目施工人员高峰期现场施工人数约</w:t>
            </w:r>
            <w:r>
              <w:rPr>
                <w:sz w:val="24"/>
                <w:szCs w:val="24"/>
              </w:rPr>
              <w:t>50</w:t>
            </w:r>
            <w:r>
              <w:rPr>
                <w:rFonts w:hint="eastAsia"/>
                <w:sz w:val="24"/>
                <w:szCs w:val="24"/>
              </w:rPr>
              <w:t>人，生活垃圾量按人均产生生活垃圾</w:t>
            </w:r>
            <w:r>
              <w:rPr>
                <w:sz w:val="24"/>
                <w:szCs w:val="24"/>
              </w:rPr>
              <w:t>0.5kg/d</w:t>
            </w:r>
            <w:r>
              <w:rPr>
                <w:rFonts w:hint="eastAsia"/>
                <w:sz w:val="24"/>
                <w:szCs w:val="24"/>
              </w:rPr>
              <w:t>，则项目施工期生活垃圾产生量为</w:t>
            </w:r>
            <w:r>
              <w:rPr>
                <w:sz w:val="24"/>
                <w:szCs w:val="24"/>
              </w:rPr>
              <w:t>25kg/d</w:t>
            </w:r>
            <w:r>
              <w:rPr>
                <w:rFonts w:hint="eastAsia"/>
                <w:sz w:val="24"/>
                <w:szCs w:val="24"/>
              </w:rPr>
              <w:t>。</w:t>
            </w:r>
          </w:p>
          <w:p>
            <w:pPr>
              <w:numPr>
                <w:ilvl w:val="0"/>
                <w:numId w:val="1"/>
              </w:numPr>
              <w:spacing w:line="360" w:lineRule="auto"/>
              <w:ind w:firstLine="482" w:firstLineChars="200"/>
              <w:rPr>
                <w:b/>
                <w:snapToGrid w:val="0"/>
                <w:sz w:val="24"/>
                <w:szCs w:val="24"/>
              </w:rPr>
            </w:pPr>
            <w:r>
              <w:rPr>
                <w:b/>
                <w:snapToGrid w:val="0"/>
                <w:sz w:val="24"/>
                <w:szCs w:val="24"/>
              </w:rPr>
              <w:t>运营期污染源分析：</w:t>
            </w:r>
          </w:p>
          <w:p>
            <w:pPr>
              <w:spacing w:line="360" w:lineRule="auto"/>
              <w:ind w:firstLine="482" w:firstLineChars="200"/>
              <w:rPr>
                <w:sz w:val="24"/>
                <w:szCs w:val="24"/>
              </w:rPr>
            </w:pPr>
            <w:r>
              <w:rPr>
                <w:b/>
                <w:snapToGrid w:val="0"/>
                <w:sz w:val="24"/>
                <w:szCs w:val="24"/>
              </w:rPr>
              <w:t>1、废气</w:t>
            </w:r>
          </w:p>
          <w:p>
            <w:pPr>
              <w:pStyle w:val="105"/>
              <w:spacing w:line="360" w:lineRule="auto"/>
              <w:ind w:firstLine="480" w:firstLineChars="200"/>
              <w:jc w:val="both"/>
              <w:rPr>
                <w:rFonts w:ascii="Times New Roman"/>
                <w:color w:val="auto"/>
              </w:rPr>
            </w:pPr>
            <w:r>
              <w:rPr>
                <w:rFonts w:hint="eastAsia" w:ascii="Times New Roman"/>
                <w:color w:val="auto"/>
              </w:rPr>
              <w:t>本项目产生的废气主要有垃圾转运站恶臭、道路运输扬尘及餐厅油烟。</w:t>
            </w:r>
          </w:p>
          <w:p>
            <w:pPr>
              <w:pStyle w:val="105"/>
              <w:spacing w:line="360" w:lineRule="auto"/>
              <w:ind w:firstLine="480" w:firstLineChars="200"/>
              <w:jc w:val="both"/>
              <w:rPr>
                <w:rFonts w:ascii="Times New Roman"/>
                <w:color w:val="auto"/>
              </w:rPr>
            </w:pPr>
            <w:r>
              <w:rPr>
                <w:rFonts w:hint="eastAsia" w:ascii="Times New Roman"/>
                <w:color w:val="auto"/>
              </w:rPr>
              <w:t>（</w:t>
            </w:r>
            <w:r>
              <w:rPr>
                <w:rFonts w:ascii="Times New Roman" w:cs="Times New Roman"/>
                <w:color w:val="auto"/>
              </w:rPr>
              <w:t>1</w:t>
            </w:r>
            <w:r>
              <w:rPr>
                <w:rFonts w:hint="eastAsia" w:ascii="Times New Roman"/>
                <w:color w:val="auto"/>
              </w:rPr>
              <w:t>）转运站恶臭</w:t>
            </w:r>
          </w:p>
          <w:p>
            <w:pPr>
              <w:pStyle w:val="105"/>
              <w:spacing w:line="360" w:lineRule="auto"/>
              <w:ind w:firstLine="480" w:firstLineChars="200"/>
              <w:jc w:val="both"/>
              <w:rPr>
                <w:rFonts w:ascii="Times New Roman"/>
                <w:color w:val="auto"/>
              </w:rPr>
            </w:pPr>
            <w:r>
              <w:rPr>
                <w:rFonts w:hint="eastAsia" w:ascii="Times New Roman"/>
                <w:color w:val="auto"/>
              </w:rPr>
              <w:t>由于生活垃圾中含有各类易发酵的有机物，尤其是在气温较高时，生活垃圾在堆存、压装、运输过程中会散发出较难闻的恶臭气体，这些恶臭物质主要包括氨、硫化氢、甲硫醇、甲硫醚等。恶臭污染主要通过人的嗅觉来影响环境。</w:t>
            </w:r>
          </w:p>
          <w:p>
            <w:pPr>
              <w:spacing w:line="360" w:lineRule="auto"/>
              <w:ind w:firstLine="480" w:firstLineChars="200"/>
              <w:rPr>
                <w:rFonts w:cs="TimesNewRomanPSMT"/>
                <w:sz w:val="24"/>
                <w:szCs w:val="24"/>
              </w:rPr>
            </w:pPr>
            <w:r>
              <w:rPr>
                <w:rFonts w:hint="eastAsia"/>
                <w:sz w:val="24"/>
                <w:szCs w:val="24"/>
              </w:rPr>
              <w:t>根据对国内现有垃圾转运站污染物排放情况调查，转运站的废气主要来自转运站垃圾倾倒和压缩过程，废气中主要污染物为粉尘、</w:t>
            </w:r>
            <w:r>
              <w:rPr>
                <w:sz w:val="24"/>
                <w:szCs w:val="24"/>
              </w:rPr>
              <w:t>H</w:t>
            </w:r>
            <w:r>
              <w:rPr>
                <w:sz w:val="24"/>
                <w:szCs w:val="24"/>
                <w:vertAlign w:val="subscript"/>
              </w:rPr>
              <w:t>2</w:t>
            </w:r>
            <w:r>
              <w:rPr>
                <w:sz w:val="24"/>
                <w:szCs w:val="24"/>
              </w:rPr>
              <w:t>S</w:t>
            </w:r>
            <w:r>
              <w:rPr>
                <w:rFonts w:hint="eastAsia"/>
                <w:sz w:val="24"/>
                <w:szCs w:val="24"/>
              </w:rPr>
              <w:t>和</w:t>
            </w:r>
            <w:r>
              <w:rPr>
                <w:sz w:val="24"/>
                <w:szCs w:val="24"/>
              </w:rPr>
              <w:t>NH</w:t>
            </w:r>
            <w:r>
              <w:rPr>
                <w:sz w:val="24"/>
                <w:szCs w:val="24"/>
                <w:vertAlign w:val="subscript"/>
              </w:rPr>
              <w:t>3</w:t>
            </w:r>
            <w:r>
              <w:rPr>
                <w:rFonts w:hint="eastAsia"/>
                <w:sz w:val="24"/>
                <w:szCs w:val="24"/>
              </w:rPr>
              <w:t>。</w:t>
            </w:r>
            <w:r>
              <w:rPr>
                <w:rFonts w:hint="eastAsia" w:cs="宋体"/>
                <w:sz w:val="24"/>
                <w:szCs w:val="24"/>
              </w:rPr>
              <w:t>据相关资料介绍和类比同类项目分析，在常温下每吨垃圾的废气排污系数</w:t>
            </w:r>
            <w:r>
              <w:rPr>
                <w:sz w:val="24"/>
                <w:szCs w:val="24"/>
              </w:rPr>
              <w:t>NH</w:t>
            </w:r>
            <w:r>
              <w:rPr>
                <w:sz w:val="24"/>
                <w:szCs w:val="24"/>
                <w:vertAlign w:val="subscript"/>
              </w:rPr>
              <w:t>3</w:t>
            </w:r>
            <w:r>
              <w:rPr>
                <w:rFonts w:hint="eastAsia" w:cs="宋体"/>
                <w:sz w:val="24"/>
                <w:szCs w:val="24"/>
              </w:rPr>
              <w:t>为</w:t>
            </w:r>
            <w:r>
              <w:rPr>
                <w:sz w:val="24"/>
                <w:szCs w:val="24"/>
              </w:rPr>
              <w:t>60.59g</w:t>
            </w:r>
            <w:r>
              <w:rPr>
                <w:rFonts w:hint="eastAsia" w:cs="宋体"/>
                <w:sz w:val="24"/>
                <w:szCs w:val="24"/>
              </w:rPr>
              <w:t>，</w:t>
            </w:r>
            <w:r>
              <w:rPr>
                <w:sz w:val="24"/>
                <w:szCs w:val="24"/>
              </w:rPr>
              <w:t>H</w:t>
            </w:r>
            <w:r>
              <w:rPr>
                <w:sz w:val="24"/>
                <w:szCs w:val="24"/>
                <w:vertAlign w:val="subscript"/>
              </w:rPr>
              <w:t>2</w:t>
            </w:r>
            <w:r>
              <w:rPr>
                <w:sz w:val="24"/>
                <w:szCs w:val="24"/>
              </w:rPr>
              <w:t>S</w:t>
            </w:r>
            <w:r>
              <w:rPr>
                <w:rFonts w:hint="eastAsia" w:cs="宋体"/>
                <w:sz w:val="24"/>
                <w:szCs w:val="24"/>
              </w:rPr>
              <w:t>为</w:t>
            </w:r>
            <w:r>
              <w:rPr>
                <w:sz w:val="24"/>
                <w:szCs w:val="24"/>
              </w:rPr>
              <w:t>6.20g</w:t>
            </w:r>
            <w:r>
              <w:rPr>
                <w:rFonts w:hint="eastAsia" w:cs="TimesNewRomanPSMT"/>
                <w:sz w:val="24"/>
                <w:szCs w:val="24"/>
              </w:rPr>
              <w:t>，废气收集率为9</w:t>
            </w:r>
            <w:r>
              <w:rPr>
                <w:rFonts w:cs="TimesNewRomanPSMT"/>
                <w:sz w:val="24"/>
                <w:szCs w:val="24"/>
              </w:rPr>
              <w:t>5</w:t>
            </w:r>
            <w:r>
              <w:rPr>
                <w:rFonts w:hint="eastAsia" w:cs="TimesNewRomanPSMT"/>
                <w:sz w:val="24"/>
                <w:szCs w:val="24"/>
              </w:rPr>
              <w:t>%，其余为无组织排放。</w:t>
            </w:r>
          </w:p>
          <w:p>
            <w:pPr>
              <w:spacing w:line="360" w:lineRule="auto"/>
              <w:jc w:val="center"/>
              <w:rPr>
                <w:sz w:val="24"/>
                <w:szCs w:val="24"/>
              </w:rPr>
            </w:pPr>
            <w:r>
              <w:rPr>
                <w:sz w:val="24"/>
                <w:szCs w:val="24"/>
              </w:rPr>
              <w:t>表21 垃圾转运站臭气</w:t>
            </w:r>
            <w:r>
              <w:rPr>
                <w:rFonts w:hint="eastAsia"/>
                <w:sz w:val="24"/>
                <w:szCs w:val="24"/>
              </w:rPr>
              <w:t>产生</w:t>
            </w:r>
            <w:r>
              <w:rPr>
                <w:sz w:val="24"/>
                <w:szCs w:val="24"/>
              </w:rPr>
              <w:t>量</w:t>
            </w:r>
          </w:p>
          <w:tbl>
            <w:tblPr>
              <w:tblStyle w:val="28"/>
              <w:tblW w:w="85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682"/>
              <w:gridCol w:w="1223"/>
              <w:gridCol w:w="1223"/>
              <w:gridCol w:w="1223"/>
              <w:gridCol w:w="1224"/>
              <w:gridCol w:w="1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dxa"/>
                  <w:vMerge w:val="restart"/>
                  <w:vAlign w:val="center"/>
                </w:tcPr>
                <w:p>
                  <w:pPr>
                    <w:spacing w:line="360" w:lineRule="auto"/>
                    <w:jc w:val="center"/>
                    <w:rPr>
                      <w:rFonts w:cs="宋体"/>
                      <w:szCs w:val="21"/>
                    </w:rPr>
                  </w:pPr>
                  <w:r>
                    <w:rPr>
                      <w:rFonts w:hint="eastAsia" w:cs="宋体"/>
                      <w:szCs w:val="21"/>
                    </w:rPr>
                    <w:t>序号</w:t>
                  </w:r>
                </w:p>
              </w:tc>
              <w:tc>
                <w:tcPr>
                  <w:tcW w:w="1682" w:type="dxa"/>
                  <w:vMerge w:val="restart"/>
                  <w:vAlign w:val="center"/>
                </w:tcPr>
                <w:p>
                  <w:pPr>
                    <w:spacing w:line="360" w:lineRule="auto"/>
                    <w:jc w:val="center"/>
                    <w:rPr>
                      <w:rFonts w:cs="宋体"/>
                      <w:szCs w:val="21"/>
                    </w:rPr>
                  </w:pPr>
                  <w:r>
                    <w:rPr>
                      <w:rFonts w:hint="eastAsia" w:cs="宋体"/>
                      <w:szCs w:val="21"/>
                    </w:rPr>
                    <w:t>项目</w:t>
                  </w:r>
                </w:p>
              </w:tc>
              <w:tc>
                <w:tcPr>
                  <w:tcW w:w="1223" w:type="dxa"/>
                  <w:vMerge w:val="restart"/>
                  <w:vAlign w:val="center"/>
                </w:tcPr>
                <w:p>
                  <w:pPr>
                    <w:spacing w:line="360" w:lineRule="auto"/>
                    <w:jc w:val="center"/>
                    <w:rPr>
                      <w:rFonts w:cs="宋体"/>
                      <w:szCs w:val="21"/>
                    </w:rPr>
                  </w:pPr>
                  <w:r>
                    <w:rPr>
                      <w:rFonts w:hint="eastAsia" w:cs="宋体"/>
                      <w:szCs w:val="21"/>
                    </w:rPr>
                    <w:t>规模</w:t>
                  </w:r>
                </w:p>
              </w:tc>
              <w:tc>
                <w:tcPr>
                  <w:tcW w:w="2446" w:type="dxa"/>
                  <w:gridSpan w:val="2"/>
                  <w:vAlign w:val="center"/>
                </w:tcPr>
                <w:p>
                  <w:pPr>
                    <w:spacing w:line="360" w:lineRule="auto"/>
                    <w:jc w:val="center"/>
                    <w:rPr>
                      <w:rFonts w:cs="宋体"/>
                      <w:szCs w:val="21"/>
                    </w:rPr>
                  </w:pPr>
                  <w:r>
                    <w:rPr>
                      <w:rFonts w:hint="eastAsia" w:cs="宋体"/>
                      <w:szCs w:val="21"/>
                    </w:rPr>
                    <w:t>N</w:t>
                  </w:r>
                  <w:r>
                    <w:rPr>
                      <w:rFonts w:hint="eastAsia" w:cs="宋体"/>
                      <w:szCs w:val="21"/>
                      <w:vertAlign w:val="subscript"/>
                    </w:rPr>
                    <w:t>3</w:t>
                  </w:r>
                  <w:r>
                    <w:rPr>
                      <w:rFonts w:hint="eastAsia" w:cs="宋体"/>
                      <w:szCs w:val="21"/>
                    </w:rPr>
                    <w:t>H</w:t>
                  </w:r>
                </w:p>
              </w:tc>
              <w:tc>
                <w:tcPr>
                  <w:tcW w:w="2448" w:type="dxa"/>
                  <w:gridSpan w:val="2"/>
                  <w:vAlign w:val="center"/>
                </w:tcPr>
                <w:p>
                  <w:pPr>
                    <w:spacing w:line="360" w:lineRule="auto"/>
                    <w:jc w:val="center"/>
                    <w:rPr>
                      <w:rFonts w:cs="宋体"/>
                      <w:szCs w:val="21"/>
                    </w:rPr>
                  </w:pPr>
                  <w:r>
                    <w:rPr>
                      <w:rFonts w:hint="eastAsia" w:cs="宋体"/>
                      <w:szCs w:val="21"/>
                    </w:rPr>
                    <w:t>H</w:t>
                  </w:r>
                  <w:r>
                    <w:rPr>
                      <w:rFonts w:hint="eastAsia" w:cs="宋体"/>
                      <w:szCs w:val="21"/>
                      <w:vertAlign w:val="subscript"/>
                    </w:rPr>
                    <w:t>2</w:t>
                  </w:r>
                  <w:r>
                    <w:rPr>
                      <w:rFonts w:hint="eastAsia" w:cs="宋体"/>
                      <w:szCs w:val="21"/>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dxa"/>
                  <w:vMerge w:val="continue"/>
                  <w:vAlign w:val="center"/>
                </w:tcPr>
                <w:p>
                  <w:pPr>
                    <w:spacing w:line="360" w:lineRule="auto"/>
                    <w:jc w:val="center"/>
                    <w:rPr>
                      <w:rFonts w:cs="宋体"/>
                      <w:szCs w:val="21"/>
                    </w:rPr>
                  </w:pPr>
                </w:p>
              </w:tc>
              <w:tc>
                <w:tcPr>
                  <w:tcW w:w="1682" w:type="dxa"/>
                  <w:vMerge w:val="continue"/>
                  <w:vAlign w:val="center"/>
                </w:tcPr>
                <w:p>
                  <w:pPr>
                    <w:spacing w:line="360" w:lineRule="auto"/>
                    <w:jc w:val="center"/>
                    <w:rPr>
                      <w:rFonts w:cs="宋体"/>
                      <w:szCs w:val="21"/>
                    </w:rPr>
                  </w:pPr>
                </w:p>
              </w:tc>
              <w:tc>
                <w:tcPr>
                  <w:tcW w:w="1223" w:type="dxa"/>
                  <w:vMerge w:val="continue"/>
                  <w:vAlign w:val="center"/>
                </w:tcPr>
                <w:p>
                  <w:pPr>
                    <w:spacing w:line="360" w:lineRule="auto"/>
                    <w:jc w:val="center"/>
                    <w:rPr>
                      <w:rFonts w:cs="宋体"/>
                      <w:szCs w:val="21"/>
                    </w:rPr>
                  </w:pPr>
                </w:p>
              </w:tc>
              <w:tc>
                <w:tcPr>
                  <w:tcW w:w="1223" w:type="dxa"/>
                  <w:vAlign w:val="center"/>
                </w:tcPr>
                <w:p>
                  <w:pPr>
                    <w:spacing w:line="360" w:lineRule="auto"/>
                    <w:jc w:val="center"/>
                    <w:rPr>
                      <w:rFonts w:cs="宋体"/>
                      <w:szCs w:val="21"/>
                    </w:rPr>
                  </w:pPr>
                  <w:r>
                    <w:rPr>
                      <w:rFonts w:hint="eastAsia" w:cs="宋体"/>
                      <w:szCs w:val="21"/>
                    </w:rPr>
                    <w:t>kg</w:t>
                  </w:r>
                  <w:r>
                    <w:rPr>
                      <w:rFonts w:cs="宋体"/>
                      <w:szCs w:val="21"/>
                    </w:rPr>
                    <w:t>/</w:t>
                  </w:r>
                  <w:r>
                    <w:rPr>
                      <w:rFonts w:hint="eastAsia" w:cs="宋体"/>
                      <w:szCs w:val="21"/>
                    </w:rPr>
                    <w:t>d</w:t>
                  </w:r>
                </w:p>
              </w:tc>
              <w:tc>
                <w:tcPr>
                  <w:tcW w:w="1223" w:type="dxa"/>
                  <w:vAlign w:val="center"/>
                </w:tcPr>
                <w:p>
                  <w:pPr>
                    <w:spacing w:line="360" w:lineRule="auto"/>
                    <w:jc w:val="center"/>
                    <w:rPr>
                      <w:rFonts w:cs="宋体"/>
                      <w:szCs w:val="21"/>
                    </w:rPr>
                  </w:pPr>
                  <w:r>
                    <w:rPr>
                      <w:rFonts w:hint="eastAsia" w:cs="宋体"/>
                      <w:szCs w:val="21"/>
                    </w:rPr>
                    <w:t>t/a</w:t>
                  </w:r>
                </w:p>
              </w:tc>
              <w:tc>
                <w:tcPr>
                  <w:tcW w:w="1224" w:type="dxa"/>
                  <w:vAlign w:val="center"/>
                </w:tcPr>
                <w:p>
                  <w:pPr>
                    <w:spacing w:line="360" w:lineRule="auto"/>
                    <w:jc w:val="center"/>
                    <w:rPr>
                      <w:rFonts w:cs="宋体"/>
                      <w:szCs w:val="21"/>
                    </w:rPr>
                  </w:pPr>
                  <w:r>
                    <w:rPr>
                      <w:rFonts w:hint="eastAsia" w:cs="宋体"/>
                      <w:szCs w:val="21"/>
                    </w:rPr>
                    <w:t>kg</w:t>
                  </w:r>
                  <w:r>
                    <w:rPr>
                      <w:rFonts w:cs="宋体"/>
                      <w:szCs w:val="21"/>
                    </w:rPr>
                    <w:t>/</w:t>
                  </w:r>
                  <w:r>
                    <w:rPr>
                      <w:rFonts w:hint="eastAsia" w:cs="宋体"/>
                      <w:szCs w:val="21"/>
                    </w:rPr>
                    <w:t>d</w:t>
                  </w:r>
                </w:p>
              </w:tc>
              <w:tc>
                <w:tcPr>
                  <w:tcW w:w="1224" w:type="dxa"/>
                  <w:vAlign w:val="center"/>
                </w:tcPr>
                <w:p>
                  <w:pPr>
                    <w:spacing w:line="360" w:lineRule="auto"/>
                    <w:jc w:val="center"/>
                    <w:rPr>
                      <w:rFonts w:cs="宋体"/>
                      <w:szCs w:val="21"/>
                    </w:rPr>
                  </w:pPr>
                  <w:r>
                    <w:rPr>
                      <w:rFonts w:hint="eastAsia" w:cs="宋体"/>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dxa"/>
                  <w:vAlign w:val="center"/>
                </w:tcPr>
                <w:p>
                  <w:pPr>
                    <w:spacing w:line="360" w:lineRule="auto"/>
                    <w:jc w:val="center"/>
                    <w:rPr>
                      <w:rFonts w:cs="宋体"/>
                      <w:szCs w:val="21"/>
                    </w:rPr>
                  </w:pPr>
                  <w:r>
                    <w:rPr>
                      <w:rFonts w:hint="eastAsia" w:cs="宋体"/>
                      <w:szCs w:val="21"/>
                    </w:rPr>
                    <w:t>1</w:t>
                  </w:r>
                </w:p>
              </w:tc>
              <w:tc>
                <w:tcPr>
                  <w:tcW w:w="1682" w:type="dxa"/>
                  <w:vAlign w:val="center"/>
                </w:tcPr>
                <w:p>
                  <w:pPr>
                    <w:spacing w:line="360" w:lineRule="auto"/>
                    <w:jc w:val="center"/>
                    <w:rPr>
                      <w:rFonts w:cs="宋体"/>
                      <w:szCs w:val="21"/>
                    </w:rPr>
                  </w:pPr>
                  <w:r>
                    <w:rPr>
                      <w:rFonts w:hint="eastAsia" w:cs="宋体"/>
                      <w:szCs w:val="21"/>
                    </w:rPr>
                    <w:t>主城区垃圾转运站</w:t>
                  </w:r>
                </w:p>
              </w:tc>
              <w:tc>
                <w:tcPr>
                  <w:tcW w:w="1223" w:type="dxa"/>
                  <w:vAlign w:val="center"/>
                </w:tcPr>
                <w:p>
                  <w:pPr>
                    <w:spacing w:line="360" w:lineRule="auto"/>
                    <w:jc w:val="center"/>
                    <w:rPr>
                      <w:rFonts w:cs="宋体"/>
                      <w:szCs w:val="21"/>
                    </w:rPr>
                  </w:pPr>
                  <w:r>
                    <w:rPr>
                      <w:rFonts w:hint="eastAsia" w:cs="宋体"/>
                      <w:szCs w:val="21"/>
                    </w:rPr>
                    <w:t>1</w:t>
                  </w:r>
                  <w:r>
                    <w:rPr>
                      <w:rFonts w:cs="宋体"/>
                      <w:szCs w:val="21"/>
                    </w:rPr>
                    <w:t>20</w:t>
                  </w:r>
                  <w:r>
                    <w:rPr>
                      <w:rFonts w:hint="eastAsia" w:cs="宋体"/>
                      <w:szCs w:val="21"/>
                    </w:rPr>
                    <w:t>t</w:t>
                  </w:r>
                  <w:r>
                    <w:rPr>
                      <w:rFonts w:cs="宋体"/>
                      <w:szCs w:val="21"/>
                    </w:rPr>
                    <w:t>/</w:t>
                  </w:r>
                  <w:r>
                    <w:rPr>
                      <w:rFonts w:hint="eastAsia" w:cs="宋体"/>
                      <w:szCs w:val="21"/>
                    </w:rPr>
                    <w:t>d</w:t>
                  </w:r>
                </w:p>
              </w:tc>
              <w:tc>
                <w:tcPr>
                  <w:tcW w:w="1223" w:type="dxa"/>
                  <w:vAlign w:val="center"/>
                </w:tcPr>
                <w:p>
                  <w:pPr>
                    <w:spacing w:line="360" w:lineRule="auto"/>
                    <w:jc w:val="center"/>
                    <w:rPr>
                      <w:rFonts w:cs="宋体"/>
                      <w:szCs w:val="21"/>
                    </w:rPr>
                  </w:pPr>
                  <w:r>
                    <w:rPr>
                      <w:rFonts w:hint="eastAsia" w:cs="宋体"/>
                      <w:szCs w:val="21"/>
                    </w:rPr>
                    <w:t>7</w:t>
                  </w:r>
                  <w:r>
                    <w:rPr>
                      <w:rFonts w:cs="宋体"/>
                      <w:szCs w:val="21"/>
                    </w:rPr>
                    <w:t>.27</w:t>
                  </w:r>
                </w:p>
              </w:tc>
              <w:tc>
                <w:tcPr>
                  <w:tcW w:w="1223" w:type="dxa"/>
                  <w:vAlign w:val="center"/>
                </w:tcPr>
                <w:p>
                  <w:pPr>
                    <w:spacing w:line="360" w:lineRule="auto"/>
                    <w:jc w:val="center"/>
                    <w:rPr>
                      <w:rFonts w:cs="宋体"/>
                      <w:szCs w:val="21"/>
                    </w:rPr>
                  </w:pPr>
                  <w:r>
                    <w:rPr>
                      <w:rFonts w:hint="eastAsia" w:cs="宋体"/>
                      <w:szCs w:val="21"/>
                    </w:rPr>
                    <w:t>2</w:t>
                  </w:r>
                  <w:r>
                    <w:rPr>
                      <w:rFonts w:cs="宋体"/>
                      <w:szCs w:val="21"/>
                    </w:rPr>
                    <w:t>.65</w:t>
                  </w:r>
                </w:p>
              </w:tc>
              <w:tc>
                <w:tcPr>
                  <w:tcW w:w="1224" w:type="dxa"/>
                  <w:vAlign w:val="center"/>
                </w:tcPr>
                <w:p>
                  <w:pPr>
                    <w:spacing w:line="360" w:lineRule="auto"/>
                    <w:jc w:val="center"/>
                    <w:rPr>
                      <w:rFonts w:cs="宋体"/>
                      <w:szCs w:val="21"/>
                    </w:rPr>
                  </w:pPr>
                  <w:r>
                    <w:rPr>
                      <w:rFonts w:hint="eastAsia" w:cs="宋体"/>
                      <w:szCs w:val="21"/>
                    </w:rPr>
                    <w:t>0</w:t>
                  </w:r>
                  <w:r>
                    <w:rPr>
                      <w:rFonts w:cs="宋体"/>
                      <w:szCs w:val="21"/>
                    </w:rPr>
                    <w:t>.74</w:t>
                  </w:r>
                </w:p>
              </w:tc>
              <w:tc>
                <w:tcPr>
                  <w:tcW w:w="1224" w:type="dxa"/>
                  <w:vAlign w:val="center"/>
                </w:tcPr>
                <w:p>
                  <w:pPr>
                    <w:spacing w:line="360" w:lineRule="auto"/>
                    <w:jc w:val="center"/>
                    <w:rPr>
                      <w:rFonts w:cs="宋体"/>
                      <w:szCs w:val="21"/>
                    </w:rPr>
                  </w:pPr>
                  <w:r>
                    <w:rPr>
                      <w:rFonts w:hint="eastAsia" w:cs="宋体"/>
                      <w:szCs w:val="21"/>
                    </w:rPr>
                    <w:t>0</w:t>
                  </w:r>
                  <w:r>
                    <w:rPr>
                      <w:rFonts w:cs="宋体"/>
                      <w:szCs w:val="21"/>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dxa"/>
                  <w:vAlign w:val="center"/>
                </w:tcPr>
                <w:p>
                  <w:pPr>
                    <w:spacing w:line="360" w:lineRule="auto"/>
                    <w:jc w:val="center"/>
                    <w:rPr>
                      <w:rFonts w:cs="宋体"/>
                      <w:szCs w:val="21"/>
                    </w:rPr>
                  </w:pPr>
                  <w:r>
                    <w:rPr>
                      <w:rFonts w:hint="eastAsia" w:cs="宋体"/>
                      <w:szCs w:val="21"/>
                    </w:rPr>
                    <w:t>2</w:t>
                  </w:r>
                </w:p>
              </w:tc>
              <w:tc>
                <w:tcPr>
                  <w:tcW w:w="1682" w:type="dxa"/>
                  <w:vAlign w:val="center"/>
                </w:tcPr>
                <w:p>
                  <w:pPr>
                    <w:spacing w:line="360" w:lineRule="auto"/>
                    <w:jc w:val="center"/>
                    <w:rPr>
                      <w:rFonts w:cs="宋体"/>
                      <w:szCs w:val="21"/>
                    </w:rPr>
                  </w:pPr>
                  <w:r>
                    <w:rPr>
                      <w:rFonts w:hint="eastAsia" w:cs="宋体"/>
                      <w:szCs w:val="21"/>
                    </w:rPr>
                    <w:t>寿王坟镇垃圾转运站</w:t>
                  </w:r>
                </w:p>
              </w:tc>
              <w:tc>
                <w:tcPr>
                  <w:tcW w:w="1223" w:type="dxa"/>
                  <w:vAlign w:val="center"/>
                </w:tcPr>
                <w:p>
                  <w:pPr>
                    <w:spacing w:line="360" w:lineRule="auto"/>
                    <w:jc w:val="center"/>
                    <w:rPr>
                      <w:rFonts w:cs="宋体"/>
                      <w:szCs w:val="21"/>
                    </w:rPr>
                  </w:pPr>
                  <w:r>
                    <w:rPr>
                      <w:rFonts w:hint="eastAsia" w:cs="宋体"/>
                      <w:szCs w:val="21"/>
                    </w:rPr>
                    <w:t>2</w:t>
                  </w:r>
                  <w:r>
                    <w:rPr>
                      <w:rFonts w:cs="宋体"/>
                      <w:szCs w:val="21"/>
                    </w:rPr>
                    <w:t>0</w:t>
                  </w:r>
                  <w:r>
                    <w:rPr>
                      <w:rFonts w:hint="eastAsia" w:cs="宋体"/>
                      <w:szCs w:val="21"/>
                    </w:rPr>
                    <w:t>t/d</w:t>
                  </w:r>
                </w:p>
              </w:tc>
              <w:tc>
                <w:tcPr>
                  <w:tcW w:w="1223" w:type="dxa"/>
                  <w:vAlign w:val="center"/>
                </w:tcPr>
                <w:p>
                  <w:pPr>
                    <w:spacing w:line="360" w:lineRule="auto"/>
                    <w:jc w:val="center"/>
                    <w:rPr>
                      <w:rFonts w:cs="宋体"/>
                      <w:szCs w:val="21"/>
                    </w:rPr>
                  </w:pPr>
                  <w:r>
                    <w:rPr>
                      <w:rFonts w:hint="eastAsia" w:cs="宋体"/>
                      <w:szCs w:val="21"/>
                    </w:rPr>
                    <w:t>1</w:t>
                  </w:r>
                  <w:r>
                    <w:rPr>
                      <w:rFonts w:cs="宋体"/>
                      <w:szCs w:val="21"/>
                    </w:rPr>
                    <w:t>.21</w:t>
                  </w:r>
                </w:p>
              </w:tc>
              <w:tc>
                <w:tcPr>
                  <w:tcW w:w="1223" w:type="dxa"/>
                  <w:vAlign w:val="center"/>
                </w:tcPr>
                <w:p>
                  <w:pPr>
                    <w:spacing w:line="360" w:lineRule="auto"/>
                    <w:jc w:val="center"/>
                    <w:rPr>
                      <w:rFonts w:cs="宋体"/>
                      <w:szCs w:val="21"/>
                    </w:rPr>
                  </w:pPr>
                  <w:r>
                    <w:rPr>
                      <w:rFonts w:hint="eastAsia" w:cs="宋体"/>
                      <w:szCs w:val="21"/>
                    </w:rPr>
                    <w:t>0</w:t>
                  </w:r>
                  <w:r>
                    <w:rPr>
                      <w:rFonts w:cs="宋体"/>
                      <w:szCs w:val="21"/>
                    </w:rPr>
                    <w:t>.44</w:t>
                  </w:r>
                </w:p>
              </w:tc>
              <w:tc>
                <w:tcPr>
                  <w:tcW w:w="1224" w:type="dxa"/>
                  <w:vAlign w:val="center"/>
                </w:tcPr>
                <w:p>
                  <w:pPr>
                    <w:spacing w:line="360" w:lineRule="auto"/>
                    <w:jc w:val="center"/>
                    <w:rPr>
                      <w:rFonts w:cs="宋体"/>
                      <w:szCs w:val="21"/>
                    </w:rPr>
                  </w:pPr>
                  <w:r>
                    <w:rPr>
                      <w:rFonts w:hint="eastAsia" w:cs="宋体"/>
                      <w:szCs w:val="21"/>
                    </w:rPr>
                    <w:t>0</w:t>
                  </w:r>
                  <w:r>
                    <w:rPr>
                      <w:rFonts w:cs="宋体"/>
                      <w:szCs w:val="21"/>
                    </w:rPr>
                    <w:t>.124</w:t>
                  </w:r>
                </w:p>
              </w:tc>
              <w:tc>
                <w:tcPr>
                  <w:tcW w:w="1224" w:type="dxa"/>
                  <w:vAlign w:val="center"/>
                </w:tcPr>
                <w:p>
                  <w:pPr>
                    <w:spacing w:line="360" w:lineRule="auto"/>
                    <w:jc w:val="center"/>
                    <w:rPr>
                      <w:rFonts w:cs="宋体"/>
                      <w:szCs w:val="21"/>
                    </w:rPr>
                  </w:pPr>
                  <w:r>
                    <w:rPr>
                      <w:rFonts w:hint="eastAsia" w:cs="宋体"/>
                      <w:szCs w:val="21"/>
                    </w:rPr>
                    <w:t>0</w:t>
                  </w:r>
                  <w:r>
                    <w:rPr>
                      <w:rFonts w:cs="宋体"/>
                      <w:szCs w:val="21"/>
                    </w:rPr>
                    <w:t>.045</w:t>
                  </w:r>
                </w:p>
              </w:tc>
            </w:tr>
          </w:tbl>
          <w:p>
            <w:pPr>
              <w:spacing w:line="360" w:lineRule="auto"/>
              <w:ind w:firstLine="480" w:firstLineChars="200"/>
              <w:rPr>
                <w:rFonts w:cs="TimesNewRomanPSMT"/>
                <w:sz w:val="24"/>
                <w:szCs w:val="24"/>
              </w:rPr>
            </w:pPr>
            <w:r>
              <w:rPr>
                <w:rFonts w:hint="eastAsia" w:cs="TimesNewRomanPSMT"/>
                <w:sz w:val="24"/>
                <w:szCs w:val="24"/>
              </w:rPr>
              <w:t>为降低垃圾恶臭对周围环境的影响，本项目需在主城区垃圾转运站及寿王坟镇垃圾转运站分别设置1套除臭系统：采用“</w:t>
            </w:r>
            <w:r>
              <w:rPr>
                <w:rFonts w:hint="eastAsia"/>
                <w:sz w:val="24"/>
                <w:szCs w:val="24"/>
              </w:rPr>
              <w:t>负压抽风净化+</w:t>
            </w:r>
            <w:r>
              <w:rPr>
                <w:rFonts w:hint="eastAsia" w:cs="宋体"/>
                <w:sz w:val="24"/>
                <w:szCs w:val="24"/>
              </w:rPr>
              <w:t>雾化喷淋+生物除臭剂</w:t>
            </w:r>
            <w:r>
              <w:rPr>
                <w:rFonts w:hint="eastAsia" w:cs="TimesNewRomanPSMT"/>
                <w:sz w:val="24"/>
                <w:szCs w:val="24"/>
              </w:rPr>
              <w:t>”，处理效率9</w:t>
            </w:r>
            <w:r>
              <w:rPr>
                <w:rFonts w:cs="TimesNewRomanPSMT"/>
                <w:sz w:val="24"/>
                <w:szCs w:val="24"/>
              </w:rPr>
              <w:t>5</w:t>
            </w:r>
            <w:r>
              <w:rPr>
                <w:rFonts w:hint="eastAsia" w:cs="TimesNewRomanPSMT"/>
                <w:sz w:val="24"/>
                <w:szCs w:val="24"/>
              </w:rPr>
              <w:t>%，经处理后，通过1</w:t>
            </w:r>
            <w:r>
              <w:rPr>
                <w:rFonts w:cs="TimesNewRomanPSMT"/>
                <w:sz w:val="24"/>
                <w:szCs w:val="24"/>
              </w:rPr>
              <w:t>5</w:t>
            </w:r>
            <w:r>
              <w:rPr>
                <w:rFonts w:hint="eastAsia" w:cs="TimesNewRomanPSMT"/>
                <w:sz w:val="24"/>
                <w:szCs w:val="24"/>
              </w:rPr>
              <w:t>m高排气筒排出。同时，在两座转运站压缩车间配备雾化喷淋系统，降低无组织废气排放量，处理效率约7</w:t>
            </w:r>
            <w:r>
              <w:rPr>
                <w:rFonts w:cs="TimesNewRomanPSMT"/>
                <w:sz w:val="24"/>
                <w:szCs w:val="24"/>
              </w:rPr>
              <w:t>0</w:t>
            </w:r>
            <w:r>
              <w:rPr>
                <w:rFonts w:hint="eastAsia" w:cs="TimesNewRomanPSMT"/>
                <w:sz w:val="24"/>
                <w:szCs w:val="24"/>
              </w:rPr>
              <w:t>%。</w:t>
            </w:r>
          </w:p>
          <w:p>
            <w:pPr>
              <w:spacing w:line="360" w:lineRule="auto"/>
              <w:jc w:val="center"/>
              <w:rPr>
                <w:sz w:val="24"/>
                <w:szCs w:val="24"/>
              </w:rPr>
            </w:pPr>
            <w:r>
              <w:rPr>
                <w:rFonts w:hint="eastAsia"/>
                <w:sz w:val="24"/>
                <w:szCs w:val="24"/>
              </w:rPr>
              <w:t>表</w:t>
            </w:r>
            <w:r>
              <w:rPr>
                <w:sz w:val="24"/>
                <w:szCs w:val="24"/>
              </w:rPr>
              <w:t xml:space="preserve">22 </w:t>
            </w:r>
            <w:r>
              <w:rPr>
                <w:rFonts w:hint="eastAsia"/>
                <w:sz w:val="24"/>
                <w:szCs w:val="24"/>
              </w:rPr>
              <w:t>垃圾转运站有组织废气排放情况</w:t>
            </w:r>
          </w:p>
          <w:tbl>
            <w:tblPr>
              <w:tblStyle w:val="28"/>
              <w:tblW w:w="85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8"/>
              <w:gridCol w:w="999"/>
              <w:gridCol w:w="1270"/>
              <w:gridCol w:w="991"/>
              <w:gridCol w:w="1417"/>
              <w:gridCol w:w="993"/>
              <w:gridCol w:w="969"/>
              <w:gridCol w:w="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 w:type="dxa"/>
                  <w:vAlign w:val="center"/>
                </w:tcPr>
                <w:p>
                  <w:pPr>
                    <w:autoSpaceDE w:val="0"/>
                    <w:autoSpaceDN w:val="0"/>
                    <w:spacing w:line="240" w:lineRule="auto"/>
                    <w:jc w:val="center"/>
                    <w:textAlignment w:val="auto"/>
                    <w:rPr>
                      <w:rFonts w:cs="宋体"/>
                      <w:szCs w:val="21"/>
                    </w:rPr>
                  </w:pPr>
                  <w:r>
                    <w:rPr>
                      <w:rFonts w:hint="eastAsia" w:cs="宋体"/>
                      <w:szCs w:val="21"/>
                    </w:rPr>
                    <w:t>转运站规模</w:t>
                  </w:r>
                </w:p>
              </w:tc>
              <w:tc>
                <w:tcPr>
                  <w:tcW w:w="999" w:type="dxa"/>
                  <w:vAlign w:val="center"/>
                </w:tcPr>
                <w:p>
                  <w:pPr>
                    <w:autoSpaceDE w:val="0"/>
                    <w:autoSpaceDN w:val="0"/>
                    <w:spacing w:line="240" w:lineRule="auto"/>
                    <w:jc w:val="center"/>
                    <w:textAlignment w:val="auto"/>
                    <w:rPr>
                      <w:rFonts w:cs="宋体"/>
                      <w:szCs w:val="21"/>
                    </w:rPr>
                  </w:pPr>
                  <w:r>
                    <w:rPr>
                      <w:rFonts w:hint="eastAsia" w:cs="宋体"/>
                      <w:szCs w:val="21"/>
                    </w:rPr>
                    <w:t>污染物</w:t>
                  </w:r>
                </w:p>
              </w:tc>
              <w:tc>
                <w:tcPr>
                  <w:tcW w:w="1270" w:type="dxa"/>
                  <w:vAlign w:val="center"/>
                </w:tcPr>
                <w:p>
                  <w:pPr>
                    <w:autoSpaceDE w:val="0"/>
                    <w:autoSpaceDN w:val="0"/>
                    <w:spacing w:line="240" w:lineRule="auto"/>
                    <w:jc w:val="center"/>
                    <w:textAlignment w:val="auto"/>
                    <w:rPr>
                      <w:rFonts w:cs="宋体"/>
                      <w:szCs w:val="21"/>
                    </w:rPr>
                  </w:pPr>
                  <w:r>
                    <w:rPr>
                      <w:rFonts w:hint="eastAsia" w:cs="宋体"/>
                      <w:szCs w:val="21"/>
                    </w:rPr>
                    <w:t>产生浓度</w:t>
                  </w:r>
                </w:p>
                <w:p>
                  <w:pPr>
                    <w:autoSpaceDE w:val="0"/>
                    <w:autoSpaceDN w:val="0"/>
                    <w:spacing w:line="240" w:lineRule="auto"/>
                    <w:jc w:val="center"/>
                    <w:textAlignment w:val="auto"/>
                    <w:rPr>
                      <w:rFonts w:cs="宋体"/>
                      <w:szCs w:val="21"/>
                    </w:rPr>
                  </w:pPr>
                  <w:r>
                    <w:rPr>
                      <w:rFonts w:hint="eastAsia" w:cs="宋体"/>
                      <w:szCs w:val="21"/>
                    </w:rPr>
                    <w:t>mg</w:t>
                  </w:r>
                  <w:r>
                    <w:rPr>
                      <w:rFonts w:cs="宋体"/>
                      <w:szCs w:val="21"/>
                    </w:rPr>
                    <w:t>/</w:t>
                  </w:r>
                  <w:r>
                    <w:rPr>
                      <w:rFonts w:hint="eastAsia" w:cs="宋体"/>
                      <w:szCs w:val="21"/>
                    </w:rPr>
                    <w:t>m</w:t>
                  </w:r>
                  <w:r>
                    <w:rPr>
                      <w:rFonts w:hint="eastAsia" w:cs="宋体"/>
                      <w:szCs w:val="21"/>
                      <w:vertAlign w:val="superscript"/>
                    </w:rPr>
                    <w:t>3</w:t>
                  </w:r>
                </w:p>
              </w:tc>
              <w:tc>
                <w:tcPr>
                  <w:tcW w:w="991" w:type="dxa"/>
                  <w:vAlign w:val="center"/>
                </w:tcPr>
                <w:p>
                  <w:pPr>
                    <w:autoSpaceDE w:val="0"/>
                    <w:autoSpaceDN w:val="0"/>
                    <w:spacing w:line="240" w:lineRule="auto"/>
                    <w:jc w:val="center"/>
                    <w:textAlignment w:val="auto"/>
                    <w:rPr>
                      <w:rFonts w:cs="宋体"/>
                      <w:szCs w:val="21"/>
                    </w:rPr>
                  </w:pPr>
                  <w:r>
                    <w:rPr>
                      <w:rFonts w:hint="eastAsia" w:cs="宋体"/>
                      <w:szCs w:val="21"/>
                    </w:rPr>
                    <w:t>产生量</w:t>
                  </w:r>
                </w:p>
                <w:p>
                  <w:pPr>
                    <w:autoSpaceDE w:val="0"/>
                    <w:autoSpaceDN w:val="0"/>
                    <w:spacing w:line="240" w:lineRule="auto"/>
                    <w:jc w:val="center"/>
                    <w:textAlignment w:val="auto"/>
                    <w:rPr>
                      <w:rFonts w:cs="宋体"/>
                      <w:szCs w:val="21"/>
                    </w:rPr>
                  </w:pPr>
                  <w:r>
                    <w:rPr>
                      <w:rFonts w:hint="eastAsia" w:cs="宋体"/>
                      <w:szCs w:val="21"/>
                    </w:rPr>
                    <w:t>t/a</w:t>
                  </w:r>
                </w:p>
              </w:tc>
              <w:tc>
                <w:tcPr>
                  <w:tcW w:w="1417" w:type="dxa"/>
                  <w:vAlign w:val="center"/>
                </w:tcPr>
                <w:p>
                  <w:pPr>
                    <w:autoSpaceDE w:val="0"/>
                    <w:autoSpaceDN w:val="0"/>
                    <w:spacing w:line="240" w:lineRule="auto"/>
                    <w:jc w:val="center"/>
                    <w:textAlignment w:val="auto"/>
                    <w:rPr>
                      <w:rFonts w:cs="宋体"/>
                      <w:szCs w:val="21"/>
                    </w:rPr>
                  </w:pPr>
                  <w:r>
                    <w:rPr>
                      <w:rFonts w:hint="eastAsia" w:cs="宋体"/>
                      <w:szCs w:val="21"/>
                    </w:rPr>
                    <w:t>治理措施</w:t>
                  </w:r>
                </w:p>
              </w:tc>
              <w:tc>
                <w:tcPr>
                  <w:tcW w:w="993" w:type="dxa"/>
                  <w:vAlign w:val="center"/>
                </w:tcPr>
                <w:p>
                  <w:pPr>
                    <w:autoSpaceDE w:val="0"/>
                    <w:autoSpaceDN w:val="0"/>
                    <w:spacing w:line="240" w:lineRule="auto"/>
                    <w:jc w:val="center"/>
                    <w:textAlignment w:val="auto"/>
                    <w:rPr>
                      <w:rFonts w:cs="宋体"/>
                      <w:szCs w:val="21"/>
                    </w:rPr>
                  </w:pPr>
                  <w:r>
                    <w:rPr>
                      <w:rFonts w:hint="eastAsia" w:cs="宋体"/>
                      <w:szCs w:val="21"/>
                    </w:rPr>
                    <w:t>去除率</w:t>
                  </w:r>
                </w:p>
              </w:tc>
              <w:tc>
                <w:tcPr>
                  <w:tcW w:w="969" w:type="dxa"/>
                  <w:vAlign w:val="center"/>
                </w:tcPr>
                <w:p>
                  <w:pPr>
                    <w:autoSpaceDE w:val="0"/>
                    <w:autoSpaceDN w:val="0"/>
                    <w:spacing w:line="240" w:lineRule="auto"/>
                    <w:jc w:val="center"/>
                    <w:textAlignment w:val="auto"/>
                    <w:rPr>
                      <w:rFonts w:cs="宋体"/>
                      <w:szCs w:val="21"/>
                    </w:rPr>
                  </w:pPr>
                  <w:r>
                    <w:rPr>
                      <w:rFonts w:hint="eastAsia" w:cs="宋体"/>
                      <w:szCs w:val="21"/>
                    </w:rPr>
                    <w:t>排放量</w:t>
                  </w:r>
                </w:p>
                <w:p>
                  <w:pPr>
                    <w:autoSpaceDE w:val="0"/>
                    <w:autoSpaceDN w:val="0"/>
                    <w:spacing w:line="240" w:lineRule="auto"/>
                    <w:jc w:val="center"/>
                    <w:textAlignment w:val="auto"/>
                    <w:rPr>
                      <w:rFonts w:cs="宋体"/>
                      <w:szCs w:val="21"/>
                    </w:rPr>
                  </w:pPr>
                  <w:r>
                    <w:rPr>
                      <w:rFonts w:hint="eastAsia" w:cs="宋体"/>
                      <w:szCs w:val="21"/>
                    </w:rPr>
                    <w:t>t/a</w:t>
                  </w:r>
                </w:p>
              </w:tc>
              <w:tc>
                <w:tcPr>
                  <w:tcW w:w="876" w:type="dxa"/>
                  <w:vAlign w:val="center"/>
                </w:tcPr>
                <w:p>
                  <w:pPr>
                    <w:autoSpaceDE w:val="0"/>
                    <w:autoSpaceDN w:val="0"/>
                    <w:spacing w:line="240" w:lineRule="auto"/>
                    <w:jc w:val="center"/>
                    <w:textAlignment w:val="auto"/>
                    <w:rPr>
                      <w:rFonts w:cs="宋体"/>
                      <w:szCs w:val="21"/>
                    </w:rPr>
                  </w:pPr>
                  <w:r>
                    <w:rPr>
                      <w:rFonts w:hint="eastAsia" w:cs="宋体"/>
                      <w:szCs w:val="21"/>
                    </w:rPr>
                    <w:t>排放速率</w:t>
                  </w:r>
                </w:p>
                <w:p>
                  <w:pPr>
                    <w:autoSpaceDE w:val="0"/>
                    <w:autoSpaceDN w:val="0"/>
                    <w:spacing w:line="240" w:lineRule="auto"/>
                    <w:jc w:val="center"/>
                    <w:textAlignment w:val="auto"/>
                    <w:rPr>
                      <w:rFonts w:cs="宋体"/>
                      <w:szCs w:val="21"/>
                    </w:rPr>
                  </w:pPr>
                  <w:r>
                    <w:rPr>
                      <w:rFonts w:cs="宋体"/>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trPr>
              <w:tc>
                <w:tcPr>
                  <w:tcW w:w="1048" w:type="dxa"/>
                  <w:vMerge w:val="restart"/>
                  <w:vAlign w:val="center"/>
                </w:tcPr>
                <w:p>
                  <w:pPr>
                    <w:autoSpaceDE w:val="0"/>
                    <w:autoSpaceDN w:val="0"/>
                    <w:spacing w:line="240" w:lineRule="auto"/>
                    <w:jc w:val="center"/>
                    <w:textAlignment w:val="auto"/>
                    <w:rPr>
                      <w:rFonts w:cs="宋体"/>
                      <w:szCs w:val="21"/>
                    </w:rPr>
                  </w:pPr>
                  <w:r>
                    <w:rPr>
                      <w:rFonts w:hint="eastAsia" w:cs="宋体"/>
                      <w:szCs w:val="21"/>
                    </w:rPr>
                    <w:t>1</w:t>
                  </w:r>
                  <w:r>
                    <w:rPr>
                      <w:rFonts w:cs="宋体"/>
                      <w:szCs w:val="21"/>
                    </w:rPr>
                    <w:t>20</w:t>
                  </w:r>
                  <w:r>
                    <w:rPr>
                      <w:rFonts w:hint="eastAsia" w:cs="宋体"/>
                      <w:szCs w:val="21"/>
                    </w:rPr>
                    <w:t>t</w:t>
                  </w:r>
                  <w:r>
                    <w:rPr>
                      <w:rFonts w:cs="宋体"/>
                      <w:szCs w:val="21"/>
                    </w:rPr>
                    <w:t>/</w:t>
                  </w:r>
                  <w:r>
                    <w:rPr>
                      <w:rFonts w:hint="eastAsia" w:cs="宋体"/>
                      <w:szCs w:val="21"/>
                    </w:rPr>
                    <w:t>d</w:t>
                  </w:r>
                </w:p>
              </w:tc>
              <w:tc>
                <w:tcPr>
                  <w:tcW w:w="999" w:type="dxa"/>
                  <w:vAlign w:val="center"/>
                </w:tcPr>
                <w:p>
                  <w:pPr>
                    <w:autoSpaceDE w:val="0"/>
                    <w:autoSpaceDN w:val="0"/>
                    <w:spacing w:line="240" w:lineRule="auto"/>
                    <w:jc w:val="center"/>
                    <w:textAlignment w:val="auto"/>
                    <w:rPr>
                      <w:rFonts w:cs="宋体"/>
                      <w:szCs w:val="21"/>
                    </w:rPr>
                  </w:pPr>
                  <w:r>
                    <w:rPr>
                      <w:rFonts w:hint="eastAsia" w:cs="宋体"/>
                      <w:szCs w:val="21"/>
                    </w:rPr>
                    <w:t>N</w:t>
                  </w:r>
                  <w:r>
                    <w:rPr>
                      <w:rFonts w:hint="eastAsia" w:cs="宋体"/>
                      <w:szCs w:val="21"/>
                      <w:vertAlign w:val="subscript"/>
                    </w:rPr>
                    <w:t>3</w:t>
                  </w:r>
                  <w:r>
                    <w:rPr>
                      <w:rFonts w:hint="eastAsia" w:cs="宋体"/>
                      <w:szCs w:val="21"/>
                    </w:rPr>
                    <w:t>H</w:t>
                  </w:r>
                </w:p>
              </w:tc>
              <w:tc>
                <w:tcPr>
                  <w:tcW w:w="1270" w:type="dxa"/>
                  <w:vAlign w:val="center"/>
                </w:tcPr>
                <w:p>
                  <w:pPr>
                    <w:widowControl/>
                    <w:adjustRightInd/>
                    <w:spacing w:line="240" w:lineRule="auto"/>
                    <w:jc w:val="center"/>
                    <w:textAlignment w:val="auto"/>
                    <w:rPr>
                      <w:szCs w:val="21"/>
                    </w:rPr>
                  </w:pPr>
                  <w:r>
                    <w:rPr>
                      <w:rFonts w:hint="eastAsia"/>
                      <w:szCs w:val="22"/>
                    </w:rPr>
                    <w:t>38.85</w:t>
                  </w:r>
                </w:p>
              </w:tc>
              <w:tc>
                <w:tcPr>
                  <w:tcW w:w="991" w:type="dxa"/>
                  <w:vAlign w:val="center"/>
                </w:tcPr>
                <w:p>
                  <w:pPr>
                    <w:autoSpaceDE w:val="0"/>
                    <w:autoSpaceDN w:val="0"/>
                    <w:spacing w:line="240" w:lineRule="auto"/>
                    <w:jc w:val="center"/>
                    <w:textAlignment w:val="auto"/>
                    <w:rPr>
                      <w:rFonts w:cs="宋体"/>
                      <w:szCs w:val="21"/>
                    </w:rPr>
                  </w:pPr>
                  <w:r>
                    <w:rPr>
                      <w:rFonts w:hint="eastAsia"/>
                      <w:szCs w:val="22"/>
                    </w:rPr>
                    <w:t>2.52</w:t>
                  </w:r>
                </w:p>
              </w:tc>
              <w:tc>
                <w:tcPr>
                  <w:tcW w:w="1417" w:type="dxa"/>
                  <w:vMerge w:val="restart"/>
                  <w:vAlign w:val="center"/>
                </w:tcPr>
                <w:p>
                  <w:pPr>
                    <w:autoSpaceDE w:val="0"/>
                    <w:autoSpaceDN w:val="0"/>
                    <w:spacing w:line="240" w:lineRule="auto"/>
                    <w:jc w:val="center"/>
                    <w:textAlignment w:val="auto"/>
                    <w:rPr>
                      <w:rFonts w:cs="宋体"/>
                      <w:szCs w:val="21"/>
                    </w:rPr>
                  </w:pPr>
                  <w:r>
                    <w:rPr>
                      <w:rFonts w:hint="eastAsia"/>
                      <w:szCs w:val="21"/>
                    </w:rPr>
                    <w:t>负压抽风净化+</w:t>
                  </w:r>
                  <w:r>
                    <w:rPr>
                      <w:rFonts w:hint="eastAsia" w:cs="宋体"/>
                      <w:szCs w:val="21"/>
                    </w:rPr>
                    <w:t>雾化喷淋+生物除臭剂，设置1</w:t>
                  </w:r>
                  <w:r>
                    <w:rPr>
                      <w:rFonts w:cs="宋体"/>
                      <w:szCs w:val="21"/>
                    </w:rPr>
                    <w:t>5</w:t>
                  </w:r>
                  <w:r>
                    <w:rPr>
                      <w:rFonts w:hint="eastAsia" w:cs="宋体"/>
                      <w:szCs w:val="21"/>
                    </w:rPr>
                    <w:t>m排气筒（1#）</w:t>
                  </w:r>
                </w:p>
              </w:tc>
              <w:tc>
                <w:tcPr>
                  <w:tcW w:w="993" w:type="dxa"/>
                  <w:vAlign w:val="center"/>
                </w:tcPr>
                <w:p>
                  <w:pPr>
                    <w:autoSpaceDE w:val="0"/>
                    <w:autoSpaceDN w:val="0"/>
                    <w:spacing w:line="240" w:lineRule="auto"/>
                    <w:jc w:val="center"/>
                    <w:textAlignment w:val="auto"/>
                    <w:rPr>
                      <w:rFonts w:cs="宋体"/>
                      <w:szCs w:val="21"/>
                    </w:rPr>
                  </w:pPr>
                  <w:r>
                    <w:rPr>
                      <w:rFonts w:hint="eastAsia" w:cs="宋体"/>
                      <w:szCs w:val="21"/>
                    </w:rPr>
                    <w:t>9</w:t>
                  </w:r>
                  <w:r>
                    <w:rPr>
                      <w:rFonts w:cs="宋体"/>
                      <w:szCs w:val="21"/>
                    </w:rPr>
                    <w:t>5</w:t>
                  </w:r>
                  <w:r>
                    <w:rPr>
                      <w:rFonts w:hint="eastAsia" w:cs="宋体"/>
                      <w:szCs w:val="21"/>
                    </w:rPr>
                    <w:t>%</w:t>
                  </w:r>
                </w:p>
              </w:tc>
              <w:tc>
                <w:tcPr>
                  <w:tcW w:w="969" w:type="dxa"/>
                  <w:vAlign w:val="center"/>
                </w:tcPr>
                <w:p>
                  <w:pPr>
                    <w:autoSpaceDE w:val="0"/>
                    <w:autoSpaceDN w:val="0"/>
                    <w:spacing w:line="240" w:lineRule="auto"/>
                    <w:jc w:val="center"/>
                    <w:textAlignment w:val="auto"/>
                    <w:rPr>
                      <w:rFonts w:cs="宋体"/>
                      <w:szCs w:val="21"/>
                    </w:rPr>
                  </w:pPr>
                  <w:r>
                    <w:rPr>
                      <w:rFonts w:hint="eastAsia"/>
                      <w:szCs w:val="22"/>
                    </w:rPr>
                    <w:t>0.1197</w:t>
                  </w:r>
                </w:p>
              </w:tc>
              <w:tc>
                <w:tcPr>
                  <w:tcW w:w="876" w:type="dxa"/>
                  <w:vAlign w:val="center"/>
                </w:tcPr>
                <w:p>
                  <w:pPr>
                    <w:autoSpaceDE w:val="0"/>
                    <w:autoSpaceDN w:val="0"/>
                    <w:spacing w:line="240" w:lineRule="auto"/>
                    <w:jc w:val="center"/>
                    <w:textAlignment w:val="auto"/>
                    <w:rPr>
                      <w:rFonts w:cs="宋体"/>
                      <w:szCs w:val="21"/>
                    </w:rPr>
                  </w:pPr>
                  <w:r>
                    <w:rPr>
                      <w:rFonts w:hint="eastAsia"/>
                      <w:szCs w:val="22"/>
                    </w:rPr>
                    <w:t>0.040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048" w:type="dxa"/>
                  <w:vMerge w:val="continue"/>
                  <w:vAlign w:val="center"/>
                </w:tcPr>
                <w:p>
                  <w:pPr>
                    <w:autoSpaceDE w:val="0"/>
                    <w:autoSpaceDN w:val="0"/>
                    <w:spacing w:line="240" w:lineRule="auto"/>
                    <w:jc w:val="center"/>
                    <w:textAlignment w:val="auto"/>
                    <w:rPr>
                      <w:rFonts w:cs="宋体"/>
                      <w:szCs w:val="21"/>
                    </w:rPr>
                  </w:pPr>
                </w:p>
              </w:tc>
              <w:tc>
                <w:tcPr>
                  <w:tcW w:w="999" w:type="dxa"/>
                  <w:vAlign w:val="center"/>
                </w:tcPr>
                <w:p>
                  <w:pPr>
                    <w:autoSpaceDE w:val="0"/>
                    <w:autoSpaceDN w:val="0"/>
                    <w:spacing w:line="240" w:lineRule="auto"/>
                    <w:jc w:val="center"/>
                    <w:textAlignment w:val="auto"/>
                    <w:rPr>
                      <w:rFonts w:cs="宋体"/>
                      <w:szCs w:val="21"/>
                    </w:rPr>
                  </w:pPr>
                  <w:r>
                    <w:rPr>
                      <w:rFonts w:hint="eastAsia" w:cs="宋体"/>
                      <w:szCs w:val="21"/>
                    </w:rPr>
                    <w:t>H</w:t>
                  </w:r>
                  <w:r>
                    <w:rPr>
                      <w:rFonts w:hint="eastAsia" w:cs="宋体"/>
                      <w:szCs w:val="21"/>
                      <w:vertAlign w:val="subscript"/>
                    </w:rPr>
                    <w:t>2</w:t>
                  </w:r>
                  <w:r>
                    <w:rPr>
                      <w:rFonts w:hint="eastAsia" w:cs="宋体"/>
                      <w:szCs w:val="21"/>
                    </w:rPr>
                    <w:t>S</w:t>
                  </w:r>
                </w:p>
              </w:tc>
              <w:tc>
                <w:tcPr>
                  <w:tcW w:w="1270" w:type="dxa"/>
                  <w:vAlign w:val="center"/>
                </w:tcPr>
                <w:p>
                  <w:pPr>
                    <w:spacing w:line="240" w:lineRule="auto"/>
                    <w:jc w:val="center"/>
                    <w:rPr>
                      <w:szCs w:val="21"/>
                    </w:rPr>
                  </w:pPr>
                  <w:r>
                    <w:rPr>
                      <w:rFonts w:hint="eastAsia"/>
                      <w:szCs w:val="22"/>
                    </w:rPr>
                    <w:t>3.95</w:t>
                  </w:r>
                </w:p>
              </w:tc>
              <w:tc>
                <w:tcPr>
                  <w:tcW w:w="991" w:type="dxa"/>
                  <w:vAlign w:val="center"/>
                </w:tcPr>
                <w:p>
                  <w:pPr>
                    <w:autoSpaceDE w:val="0"/>
                    <w:autoSpaceDN w:val="0"/>
                    <w:spacing w:line="240" w:lineRule="auto"/>
                    <w:jc w:val="center"/>
                    <w:textAlignment w:val="auto"/>
                    <w:rPr>
                      <w:rFonts w:cs="宋体"/>
                      <w:szCs w:val="21"/>
                    </w:rPr>
                  </w:pPr>
                  <w:r>
                    <w:rPr>
                      <w:rFonts w:hint="eastAsia"/>
                      <w:szCs w:val="22"/>
                    </w:rPr>
                    <w:t>0.26</w:t>
                  </w:r>
                </w:p>
              </w:tc>
              <w:tc>
                <w:tcPr>
                  <w:tcW w:w="1417" w:type="dxa"/>
                  <w:vMerge w:val="continue"/>
                  <w:vAlign w:val="center"/>
                </w:tcPr>
                <w:p>
                  <w:pPr>
                    <w:autoSpaceDE w:val="0"/>
                    <w:autoSpaceDN w:val="0"/>
                    <w:spacing w:line="240" w:lineRule="auto"/>
                    <w:jc w:val="center"/>
                    <w:textAlignment w:val="auto"/>
                    <w:rPr>
                      <w:rFonts w:cs="宋体"/>
                      <w:szCs w:val="21"/>
                    </w:rPr>
                  </w:pPr>
                </w:p>
              </w:tc>
              <w:tc>
                <w:tcPr>
                  <w:tcW w:w="993" w:type="dxa"/>
                  <w:vAlign w:val="center"/>
                </w:tcPr>
                <w:p>
                  <w:pPr>
                    <w:autoSpaceDE w:val="0"/>
                    <w:autoSpaceDN w:val="0"/>
                    <w:spacing w:line="240" w:lineRule="auto"/>
                    <w:jc w:val="center"/>
                    <w:textAlignment w:val="auto"/>
                    <w:rPr>
                      <w:rFonts w:cs="宋体"/>
                      <w:szCs w:val="21"/>
                    </w:rPr>
                  </w:pPr>
                  <w:r>
                    <w:rPr>
                      <w:rFonts w:hint="eastAsia" w:cs="宋体"/>
                      <w:szCs w:val="21"/>
                    </w:rPr>
                    <w:t>9</w:t>
                  </w:r>
                  <w:r>
                    <w:rPr>
                      <w:rFonts w:cs="宋体"/>
                      <w:szCs w:val="21"/>
                    </w:rPr>
                    <w:t>5</w:t>
                  </w:r>
                  <w:r>
                    <w:rPr>
                      <w:rFonts w:hint="eastAsia" w:cs="宋体"/>
                      <w:szCs w:val="21"/>
                    </w:rPr>
                    <w:t>%</w:t>
                  </w:r>
                </w:p>
              </w:tc>
              <w:tc>
                <w:tcPr>
                  <w:tcW w:w="969" w:type="dxa"/>
                  <w:vAlign w:val="center"/>
                </w:tcPr>
                <w:p>
                  <w:pPr>
                    <w:autoSpaceDE w:val="0"/>
                    <w:autoSpaceDN w:val="0"/>
                    <w:spacing w:line="240" w:lineRule="auto"/>
                    <w:jc w:val="center"/>
                    <w:textAlignment w:val="auto"/>
                    <w:rPr>
                      <w:rFonts w:cs="宋体"/>
                      <w:szCs w:val="21"/>
                    </w:rPr>
                  </w:pPr>
                  <w:r>
                    <w:rPr>
                      <w:rFonts w:hint="eastAsia"/>
                      <w:szCs w:val="22"/>
                    </w:rPr>
                    <w:t>0.01235</w:t>
                  </w:r>
                </w:p>
              </w:tc>
              <w:tc>
                <w:tcPr>
                  <w:tcW w:w="876" w:type="dxa"/>
                  <w:vAlign w:val="center"/>
                </w:tcPr>
                <w:p>
                  <w:pPr>
                    <w:autoSpaceDE w:val="0"/>
                    <w:autoSpaceDN w:val="0"/>
                    <w:spacing w:line="240" w:lineRule="auto"/>
                    <w:jc w:val="center"/>
                    <w:textAlignment w:val="auto"/>
                    <w:rPr>
                      <w:rFonts w:cs="宋体"/>
                      <w:szCs w:val="21"/>
                    </w:rPr>
                  </w:pPr>
                  <w:r>
                    <w:rPr>
                      <w:rFonts w:hint="eastAsia"/>
                      <w:szCs w:val="22"/>
                    </w:rPr>
                    <w:t>0.0038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1048" w:type="dxa"/>
                  <w:vMerge w:val="restart"/>
                  <w:vAlign w:val="center"/>
                </w:tcPr>
                <w:p>
                  <w:pPr>
                    <w:autoSpaceDE w:val="0"/>
                    <w:autoSpaceDN w:val="0"/>
                    <w:spacing w:line="240" w:lineRule="auto"/>
                    <w:jc w:val="center"/>
                    <w:textAlignment w:val="auto"/>
                    <w:rPr>
                      <w:rFonts w:cs="宋体"/>
                      <w:szCs w:val="21"/>
                    </w:rPr>
                  </w:pPr>
                  <w:r>
                    <w:rPr>
                      <w:rFonts w:hint="eastAsia" w:cs="宋体"/>
                      <w:szCs w:val="21"/>
                    </w:rPr>
                    <w:t>2</w:t>
                  </w:r>
                  <w:r>
                    <w:rPr>
                      <w:rFonts w:cs="宋体"/>
                      <w:szCs w:val="21"/>
                    </w:rPr>
                    <w:t>0</w:t>
                  </w:r>
                  <w:r>
                    <w:rPr>
                      <w:rFonts w:hint="eastAsia" w:cs="宋体"/>
                      <w:szCs w:val="21"/>
                    </w:rPr>
                    <w:t>t/d</w:t>
                  </w:r>
                </w:p>
              </w:tc>
              <w:tc>
                <w:tcPr>
                  <w:tcW w:w="999" w:type="dxa"/>
                  <w:vAlign w:val="center"/>
                </w:tcPr>
                <w:p>
                  <w:pPr>
                    <w:autoSpaceDE w:val="0"/>
                    <w:autoSpaceDN w:val="0"/>
                    <w:spacing w:line="240" w:lineRule="auto"/>
                    <w:jc w:val="center"/>
                    <w:textAlignment w:val="auto"/>
                    <w:rPr>
                      <w:rFonts w:cs="宋体"/>
                      <w:szCs w:val="21"/>
                    </w:rPr>
                  </w:pPr>
                  <w:r>
                    <w:rPr>
                      <w:rFonts w:hint="eastAsia" w:cs="宋体"/>
                      <w:szCs w:val="21"/>
                    </w:rPr>
                    <w:t>N</w:t>
                  </w:r>
                  <w:r>
                    <w:rPr>
                      <w:rFonts w:hint="eastAsia" w:cs="宋体"/>
                      <w:szCs w:val="21"/>
                      <w:vertAlign w:val="subscript"/>
                    </w:rPr>
                    <w:t>3</w:t>
                  </w:r>
                  <w:r>
                    <w:rPr>
                      <w:rFonts w:hint="eastAsia" w:cs="宋体"/>
                      <w:szCs w:val="21"/>
                    </w:rPr>
                    <w:t>H</w:t>
                  </w:r>
                </w:p>
              </w:tc>
              <w:tc>
                <w:tcPr>
                  <w:tcW w:w="1270" w:type="dxa"/>
                  <w:vAlign w:val="center"/>
                </w:tcPr>
                <w:p>
                  <w:pPr>
                    <w:spacing w:line="240" w:lineRule="auto"/>
                    <w:jc w:val="center"/>
                    <w:rPr>
                      <w:szCs w:val="21"/>
                    </w:rPr>
                  </w:pPr>
                  <w:r>
                    <w:rPr>
                      <w:rFonts w:hint="eastAsia"/>
                      <w:szCs w:val="22"/>
                    </w:rPr>
                    <w:t>6.47</w:t>
                  </w:r>
                </w:p>
              </w:tc>
              <w:tc>
                <w:tcPr>
                  <w:tcW w:w="991" w:type="dxa"/>
                  <w:vAlign w:val="center"/>
                </w:tcPr>
                <w:p>
                  <w:pPr>
                    <w:autoSpaceDE w:val="0"/>
                    <w:autoSpaceDN w:val="0"/>
                    <w:spacing w:line="240" w:lineRule="auto"/>
                    <w:jc w:val="center"/>
                    <w:textAlignment w:val="auto"/>
                    <w:rPr>
                      <w:rFonts w:cs="宋体"/>
                      <w:szCs w:val="21"/>
                    </w:rPr>
                  </w:pPr>
                  <w:r>
                    <w:rPr>
                      <w:rFonts w:hint="eastAsia"/>
                      <w:szCs w:val="22"/>
                    </w:rPr>
                    <w:t>0.42</w:t>
                  </w:r>
                </w:p>
              </w:tc>
              <w:tc>
                <w:tcPr>
                  <w:tcW w:w="1417" w:type="dxa"/>
                  <w:vMerge w:val="restart"/>
                  <w:vAlign w:val="center"/>
                </w:tcPr>
                <w:p>
                  <w:pPr>
                    <w:autoSpaceDE w:val="0"/>
                    <w:autoSpaceDN w:val="0"/>
                    <w:spacing w:line="240" w:lineRule="auto"/>
                    <w:jc w:val="center"/>
                    <w:textAlignment w:val="auto"/>
                    <w:rPr>
                      <w:rFonts w:cs="宋体"/>
                      <w:szCs w:val="21"/>
                    </w:rPr>
                  </w:pPr>
                  <w:r>
                    <w:rPr>
                      <w:rFonts w:hint="eastAsia"/>
                      <w:szCs w:val="21"/>
                    </w:rPr>
                    <w:t>负压抽风净化+</w:t>
                  </w:r>
                  <w:r>
                    <w:rPr>
                      <w:rFonts w:hint="eastAsia" w:cs="宋体"/>
                      <w:szCs w:val="21"/>
                    </w:rPr>
                    <w:t>雾化喷淋+生物除臭剂，设置1</w:t>
                  </w:r>
                  <w:r>
                    <w:rPr>
                      <w:rFonts w:cs="宋体"/>
                      <w:szCs w:val="21"/>
                    </w:rPr>
                    <w:t>5</w:t>
                  </w:r>
                  <w:r>
                    <w:rPr>
                      <w:rFonts w:hint="eastAsia" w:cs="宋体"/>
                      <w:szCs w:val="21"/>
                    </w:rPr>
                    <w:t>m排气筒（</w:t>
                  </w:r>
                  <w:r>
                    <w:rPr>
                      <w:rFonts w:cs="宋体"/>
                      <w:szCs w:val="21"/>
                    </w:rPr>
                    <w:t>2</w:t>
                  </w:r>
                  <w:r>
                    <w:rPr>
                      <w:rFonts w:hint="eastAsia" w:cs="宋体"/>
                      <w:szCs w:val="21"/>
                    </w:rPr>
                    <w:t>#）</w:t>
                  </w:r>
                </w:p>
              </w:tc>
              <w:tc>
                <w:tcPr>
                  <w:tcW w:w="993" w:type="dxa"/>
                  <w:vAlign w:val="center"/>
                </w:tcPr>
                <w:p>
                  <w:pPr>
                    <w:autoSpaceDE w:val="0"/>
                    <w:autoSpaceDN w:val="0"/>
                    <w:spacing w:line="240" w:lineRule="auto"/>
                    <w:jc w:val="center"/>
                    <w:textAlignment w:val="auto"/>
                    <w:rPr>
                      <w:rFonts w:cs="宋体"/>
                      <w:szCs w:val="21"/>
                    </w:rPr>
                  </w:pPr>
                  <w:r>
                    <w:rPr>
                      <w:rFonts w:hint="eastAsia" w:cs="宋体"/>
                      <w:szCs w:val="21"/>
                    </w:rPr>
                    <w:t>9</w:t>
                  </w:r>
                  <w:r>
                    <w:rPr>
                      <w:rFonts w:cs="宋体"/>
                      <w:szCs w:val="21"/>
                    </w:rPr>
                    <w:t>5</w:t>
                  </w:r>
                  <w:r>
                    <w:rPr>
                      <w:rFonts w:hint="eastAsia" w:cs="宋体"/>
                      <w:szCs w:val="21"/>
                    </w:rPr>
                    <w:t>%</w:t>
                  </w:r>
                </w:p>
              </w:tc>
              <w:tc>
                <w:tcPr>
                  <w:tcW w:w="969" w:type="dxa"/>
                  <w:vAlign w:val="center"/>
                </w:tcPr>
                <w:p>
                  <w:pPr>
                    <w:autoSpaceDE w:val="0"/>
                    <w:autoSpaceDN w:val="0"/>
                    <w:spacing w:line="240" w:lineRule="auto"/>
                    <w:jc w:val="center"/>
                    <w:textAlignment w:val="auto"/>
                    <w:rPr>
                      <w:rFonts w:cs="宋体"/>
                      <w:szCs w:val="21"/>
                    </w:rPr>
                  </w:pPr>
                  <w:r>
                    <w:rPr>
                      <w:rFonts w:hint="eastAsia"/>
                      <w:szCs w:val="22"/>
                    </w:rPr>
                    <w:t>0.019</w:t>
                  </w:r>
                </w:p>
              </w:tc>
              <w:tc>
                <w:tcPr>
                  <w:tcW w:w="876" w:type="dxa"/>
                  <w:vAlign w:val="center"/>
                </w:tcPr>
                <w:p>
                  <w:pPr>
                    <w:autoSpaceDE w:val="0"/>
                    <w:autoSpaceDN w:val="0"/>
                    <w:spacing w:line="240" w:lineRule="auto"/>
                    <w:jc w:val="center"/>
                    <w:textAlignment w:val="auto"/>
                    <w:rPr>
                      <w:rFonts w:cs="宋体"/>
                      <w:szCs w:val="21"/>
                    </w:rPr>
                  </w:pPr>
                  <w:r>
                    <w:rPr>
                      <w:rFonts w:hint="eastAsia"/>
                      <w:szCs w:val="22"/>
                    </w:rPr>
                    <w:t>0.006</w:t>
                  </w:r>
                  <w:r>
                    <w:rPr>
                      <w:szCs w:val="22"/>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048" w:type="dxa"/>
                  <w:vMerge w:val="continue"/>
                  <w:vAlign w:val="center"/>
                </w:tcPr>
                <w:p>
                  <w:pPr>
                    <w:autoSpaceDE w:val="0"/>
                    <w:autoSpaceDN w:val="0"/>
                    <w:spacing w:line="240" w:lineRule="auto"/>
                    <w:jc w:val="center"/>
                    <w:textAlignment w:val="auto"/>
                    <w:rPr>
                      <w:rFonts w:cs="宋体"/>
                      <w:szCs w:val="21"/>
                    </w:rPr>
                  </w:pPr>
                </w:p>
              </w:tc>
              <w:tc>
                <w:tcPr>
                  <w:tcW w:w="999" w:type="dxa"/>
                  <w:vAlign w:val="center"/>
                </w:tcPr>
                <w:p>
                  <w:pPr>
                    <w:autoSpaceDE w:val="0"/>
                    <w:autoSpaceDN w:val="0"/>
                    <w:spacing w:line="240" w:lineRule="auto"/>
                    <w:jc w:val="center"/>
                    <w:textAlignment w:val="auto"/>
                    <w:rPr>
                      <w:rFonts w:cs="宋体"/>
                      <w:szCs w:val="21"/>
                    </w:rPr>
                  </w:pPr>
                  <w:r>
                    <w:rPr>
                      <w:rFonts w:hint="eastAsia" w:cs="宋体"/>
                      <w:szCs w:val="21"/>
                    </w:rPr>
                    <w:t>H</w:t>
                  </w:r>
                  <w:r>
                    <w:rPr>
                      <w:rFonts w:hint="eastAsia" w:cs="宋体"/>
                      <w:szCs w:val="21"/>
                      <w:vertAlign w:val="subscript"/>
                    </w:rPr>
                    <w:t>2</w:t>
                  </w:r>
                  <w:r>
                    <w:rPr>
                      <w:rFonts w:hint="eastAsia" w:cs="宋体"/>
                      <w:szCs w:val="21"/>
                    </w:rPr>
                    <w:t>S</w:t>
                  </w:r>
                </w:p>
              </w:tc>
              <w:tc>
                <w:tcPr>
                  <w:tcW w:w="1270" w:type="dxa"/>
                  <w:vAlign w:val="center"/>
                </w:tcPr>
                <w:p>
                  <w:pPr>
                    <w:spacing w:line="240" w:lineRule="auto"/>
                    <w:jc w:val="center"/>
                    <w:rPr>
                      <w:szCs w:val="21"/>
                    </w:rPr>
                  </w:pPr>
                  <w:r>
                    <w:rPr>
                      <w:rFonts w:hint="eastAsia"/>
                      <w:szCs w:val="22"/>
                    </w:rPr>
                    <w:t>0.67</w:t>
                  </w:r>
                </w:p>
              </w:tc>
              <w:tc>
                <w:tcPr>
                  <w:tcW w:w="991" w:type="dxa"/>
                  <w:vAlign w:val="center"/>
                </w:tcPr>
                <w:p>
                  <w:pPr>
                    <w:autoSpaceDE w:val="0"/>
                    <w:autoSpaceDN w:val="0"/>
                    <w:spacing w:line="240" w:lineRule="auto"/>
                    <w:jc w:val="center"/>
                    <w:textAlignment w:val="auto"/>
                    <w:rPr>
                      <w:rFonts w:cs="宋体"/>
                      <w:szCs w:val="21"/>
                    </w:rPr>
                  </w:pPr>
                  <w:r>
                    <w:rPr>
                      <w:rFonts w:hint="eastAsia"/>
                      <w:szCs w:val="22"/>
                    </w:rPr>
                    <w:t>0.04</w:t>
                  </w:r>
                </w:p>
              </w:tc>
              <w:tc>
                <w:tcPr>
                  <w:tcW w:w="1417" w:type="dxa"/>
                  <w:vMerge w:val="continue"/>
                  <w:vAlign w:val="center"/>
                </w:tcPr>
                <w:p>
                  <w:pPr>
                    <w:autoSpaceDE w:val="0"/>
                    <w:autoSpaceDN w:val="0"/>
                    <w:spacing w:line="240" w:lineRule="auto"/>
                    <w:jc w:val="center"/>
                    <w:textAlignment w:val="auto"/>
                    <w:rPr>
                      <w:rFonts w:cs="宋体"/>
                      <w:szCs w:val="21"/>
                    </w:rPr>
                  </w:pPr>
                </w:p>
              </w:tc>
              <w:tc>
                <w:tcPr>
                  <w:tcW w:w="993" w:type="dxa"/>
                  <w:vAlign w:val="center"/>
                </w:tcPr>
                <w:p>
                  <w:pPr>
                    <w:autoSpaceDE w:val="0"/>
                    <w:autoSpaceDN w:val="0"/>
                    <w:spacing w:line="240" w:lineRule="auto"/>
                    <w:jc w:val="center"/>
                    <w:textAlignment w:val="auto"/>
                    <w:rPr>
                      <w:rFonts w:cs="宋体"/>
                      <w:szCs w:val="21"/>
                    </w:rPr>
                  </w:pPr>
                  <w:r>
                    <w:rPr>
                      <w:rFonts w:hint="eastAsia" w:cs="宋体"/>
                      <w:szCs w:val="21"/>
                    </w:rPr>
                    <w:t>9</w:t>
                  </w:r>
                  <w:r>
                    <w:rPr>
                      <w:rFonts w:cs="宋体"/>
                      <w:szCs w:val="21"/>
                    </w:rPr>
                    <w:t>5</w:t>
                  </w:r>
                  <w:r>
                    <w:rPr>
                      <w:rFonts w:hint="eastAsia" w:cs="宋体"/>
                      <w:szCs w:val="21"/>
                    </w:rPr>
                    <w:t>%</w:t>
                  </w:r>
                </w:p>
              </w:tc>
              <w:tc>
                <w:tcPr>
                  <w:tcW w:w="969" w:type="dxa"/>
                  <w:vAlign w:val="center"/>
                </w:tcPr>
                <w:p>
                  <w:pPr>
                    <w:autoSpaceDE w:val="0"/>
                    <w:autoSpaceDN w:val="0"/>
                    <w:spacing w:line="240" w:lineRule="auto"/>
                    <w:jc w:val="center"/>
                    <w:textAlignment w:val="auto"/>
                    <w:rPr>
                      <w:rFonts w:cs="宋体"/>
                      <w:szCs w:val="21"/>
                    </w:rPr>
                  </w:pPr>
                  <w:r>
                    <w:rPr>
                      <w:rFonts w:hint="eastAsia"/>
                      <w:szCs w:val="22"/>
                    </w:rPr>
                    <w:t>0.0019</w:t>
                  </w:r>
                </w:p>
              </w:tc>
              <w:tc>
                <w:tcPr>
                  <w:tcW w:w="876" w:type="dxa"/>
                  <w:vAlign w:val="center"/>
                </w:tcPr>
                <w:p>
                  <w:pPr>
                    <w:autoSpaceDE w:val="0"/>
                    <w:autoSpaceDN w:val="0"/>
                    <w:spacing w:line="240" w:lineRule="auto"/>
                    <w:jc w:val="center"/>
                    <w:textAlignment w:val="auto"/>
                    <w:rPr>
                      <w:rFonts w:cs="宋体"/>
                      <w:szCs w:val="21"/>
                    </w:rPr>
                  </w:pPr>
                  <w:r>
                    <w:rPr>
                      <w:rFonts w:hint="eastAsia"/>
                      <w:szCs w:val="22"/>
                    </w:rPr>
                    <w:t>0.000</w:t>
                  </w:r>
                  <w:r>
                    <w:rPr>
                      <w:szCs w:val="22"/>
                    </w:rPr>
                    <w:t>7</w:t>
                  </w:r>
                </w:p>
              </w:tc>
            </w:tr>
          </w:tbl>
          <w:p>
            <w:pPr>
              <w:spacing w:line="360" w:lineRule="auto"/>
              <w:jc w:val="center"/>
              <w:rPr>
                <w:sz w:val="24"/>
                <w:szCs w:val="24"/>
              </w:rPr>
            </w:pPr>
            <w:r>
              <w:rPr>
                <w:rFonts w:hint="eastAsia"/>
                <w:sz w:val="24"/>
                <w:szCs w:val="24"/>
              </w:rPr>
              <w:t>表</w:t>
            </w:r>
            <w:r>
              <w:rPr>
                <w:sz w:val="24"/>
                <w:szCs w:val="24"/>
              </w:rPr>
              <w:t xml:space="preserve">23 </w:t>
            </w:r>
            <w:r>
              <w:rPr>
                <w:rFonts w:hint="eastAsia"/>
                <w:sz w:val="24"/>
                <w:szCs w:val="24"/>
              </w:rPr>
              <w:t>垃圾转运站无组织废气排放情况</w:t>
            </w:r>
          </w:p>
          <w:tbl>
            <w:tblPr>
              <w:tblStyle w:val="28"/>
              <w:tblW w:w="85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8"/>
              <w:gridCol w:w="999"/>
              <w:gridCol w:w="1270"/>
              <w:gridCol w:w="991"/>
              <w:gridCol w:w="1417"/>
              <w:gridCol w:w="993"/>
              <w:gridCol w:w="847"/>
              <w:gridCol w:w="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 w:type="dxa"/>
                  <w:vAlign w:val="center"/>
                </w:tcPr>
                <w:p>
                  <w:pPr>
                    <w:autoSpaceDE w:val="0"/>
                    <w:autoSpaceDN w:val="0"/>
                    <w:spacing w:line="240" w:lineRule="auto"/>
                    <w:jc w:val="center"/>
                    <w:textAlignment w:val="auto"/>
                    <w:rPr>
                      <w:rFonts w:cs="宋体"/>
                      <w:szCs w:val="21"/>
                    </w:rPr>
                  </w:pPr>
                  <w:r>
                    <w:rPr>
                      <w:rFonts w:hint="eastAsia" w:cs="宋体"/>
                      <w:szCs w:val="21"/>
                    </w:rPr>
                    <w:t>转运站规模</w:t>
                  </w:r>
                </w:p>
              </w:tc>
              <w:tc>
                <w:tcPr>
                  <w:tcW w:w="999" w:type="dxa"/>
                  <w:vAlign w:val="center"/>
                </w:tcPr>
                <w:p>
                  <w:pPr>
                    <w:autoSpaceDE w:val="0"/>
                    <w:autoSpaceDN w:val="0"/>
                    <w:spacing w:line="240" w:lineRule="auto"/>
                    <w:jc w:val="center"/>
                    <w:textAlignment w:val="auto"/>
                    <w:rPr>
                      <w:rFonts w:cs="宋体"/>
                      <w:szCs w:val="21"/>
                    </w:rPr>
                  </w:pPr>
                  <w:r>
                    <w:rPr>
                      <w:rFonts w:hint="eastAsia" w:cs="宋体"/>
                      <w:szCs w:val="21"/>
                    </w:rPr>
                    <w:t>污染物</w:t>
                  </w:r>
                </w:p>
              </w:tc>
              <w:tc>
                <w:tcPr>
                  <w:tcW w:w="1270" w:type="dxa"/>
                  <w:vAlign w:val="center"/>
                </w:tcPr>
                <w:p>
                  <w:pPr>
                    <w:autoSpaceDE w:val="0"/>
                    <w:autoSpaceDN w:val="0"/>
                    <w:spacing w:line="240" w:lineRule="auto"/>
                    <w:jc w:val="center"/>
                    <w:textAlignment w:val="auto"/>
                    <w:rPr>
                      <w:rFonts w:cs="宋体"/>
                      <w:szCs w:val="21"/>
                    </w:rPr>
                  </w:pPr>
                  <w:r>
                    <w:rPr>
                      <w:rFonts w:hint="eastAsia" w:cs="宋体"/>
                      <w:szCs w:val="21"/>
                    </w:rPr>
                    <w:t>产生浓度</w:t>
                  </w:r>
                </w:p>
                <w:p>
                  <w:pPr>
                    <w:autoSpaceDE w:val="0"/>
                    <w:autoSpaceDN w:val="0"/>
                    <w:spacing w:line="240" w:lineRule="auto"/>
                    <w:jc w:val="center"/>
                    <w:textAlignment w:val="auto"/>
                    <w:rPr>
                      <w:rFonts w:cs="宋体"/>
                      <w:szCs w:val="21"/>
                    </w:rPr>
                  </w:pPr>
                  <w:r>
                    <w:rPr>
                      <w:rFonts w:hint="eastAsia" w:cs="宋体"/>
                      <w:szCs w:val="21"/>
                    </w:rPr>
                    <w:t>mg</w:t>
                  </w:r>
                  <w:r>
                    <w:rPr>
                      <w:rFonts w:cs="宋体"/>
                      <w:szCs w:val="21"/>
                    </w:rPr>
                    <w:t>/</w:t>
                  </w:r>
                  <w:r>
                    <w:rPr>
                      <w:rFonts w:hint="eastAsia" w:cs="宋体"/>
                      <w:szCs w:val="21"/>
                    </w:rPr>
                    <w:t>m</w:t>
                  </w:r>
                  <w:r>
                    <w:rPr>
                      <w:rFonts w:hint="eastAsia" w:cs="宋体"/>
                      <w:szCs w:val="21"/>
                      <w:vertAlign w:val="superscript"/>
                    </w:rPr>
                    <w:t>3</w:t>
                  </w:r>
                </w:p>
              </w:tc>
              <w:tc>
                <w:tcPr>
                  <w:tcW w:w="991" w:type="dxa"/>
                  <w:vAlign w:val="center"/>
                </w:tcPr>
                <w:p>
                  <w:pPr>
                    <w:autoSpaceDE w:val="0"/>
                    <w:autoSpaceDN w:val="0"/>
                    <w:spacing w:line="240" w:lineRule="auto"/>
                    <w:jc w:val="center"/>
                    <w:textAlignment w:val="auto"/>
                    <w:rPr>
                      <w:rFonts w:cs="宋体"/>
                      <w:szCs w:val="21"/>
                    </w:rPr>
                  </w:pPr>
                  <w:r>
                    <w:rPr>
                      <w:rFonts w:hint="eastAsia" w:cs="宋体"/>
                      <w:szCs w:val="21"/>
                    </w:rPr>
                    <w:t>产生量</w:t>
                  </w:r>
                </w:p>
                <w:p>
                  <w:pPr>
                    <w:autoSpaceDE w:val="0"/>
                    <w:autoSpaceDN w:val="0"/>
                    <w:spacing w:line="240" w:lineRule="auto"/>
                    <w:jc w:val="center"/>
                    <w:textAlignment w:val="auto"/>
                    <w:rPr>
                      <w:rFonts w:cs="宋体"/>
                      <w:szCs w:val="21"/>
                    </w:rPr>
                  </w:pPr>
                  <w:r>
                    <w:rPr>
                      <w:rFonts w:hint="eastAsia" w:cs="宋体"/>
                      <w:szCs w:val="21"/>
                    </w:rPr>
                    <w:t>t/a</w:t>
                  </w:r>
                </w:p>
              </w:tc>
              <w:tc>
                <w:tcPr>
                  <w:tcW w:w="1417" w:type="dxa"/>
                  <w:vAlign w:val="center"/>
                </w:tcPr>
                <w:p>
                  <w:pPr>
                    <w:autoSpaceDE w:val="0"/>
                    <w:autoSpaceDN w:val="0"/>
                    <w:spacing w:line="240" w:lineRule="auto"/>
                    <w:jc w:val="center"/>
                    <w:textAlignment w:val="auto"/>
                    <w:rPr>
                      <w:rFonts w:cs="宋体"/>
                      <w:szCs w:val="21"/>
                    </w:rPr>
                  </w:pPr>
                  <w:r>
                    <w:rPr>
                      <w:rFonts w:hint="eastAsia" w:cs="宋体"/>
                      <w:szCs w:val="21"/>
                    </w:rPr>
                    <w:t>治理措施</w:t>
                  </w:r>
                </w:p>
              </w:tc>
              <w:tc>
                <w:tcPr>
                  <w:tcW w:w="993" w:type="dxa"/>
                  <w:vAlign w:val="center"/>
                </w:tcPr>
                <w:p>
                  <w:pPr>
                    <w:autoSpaceDE w:val="0"/>
                    <w:autoSpaceDN w:val="0"/>
                    <w:spacing w:line="240" w:lineRule="auto"/>
                    <w:jc w:val="center"/>
                    <w:textAlignment w:val="auto"/>
                    <w:rPr>
                      <w:rFonts w:cs="宋体"/>
                      <w:szCs w:val="21"/>
                    </w:rPr>
                  </w:pPr>
                  <w:r>
                    <w:rPr>
                      <w:rFonts w:hint="eastAsia" w:cs="宋体"/>
                      <w:szCs w:val="21"/>
                    </w:rPr>
                    <w:t>去除率</w:t>
                  </w:r>
                </w:p>
              </w:tc>
              <w:tc>
                <w:tcPr>
                  <w:tcW w:w="847" w:type="dxa"/>
                  <w:vAlign w:val="center"/>
                </w:tcPr>
                <w:p>
                  <w:pPr>
                    <w:autoSpaceDE w:val="0"/>
                    <w:autoSpaceDN w:val="0"/>
                    <w:spacing w:line="240" w:lineRule="auto"/>
                    <w:jc w:val="center"/>
                    <w:textAlignment w:val="auto"/>
                    <w:rPr>
                      <w:rFonts w:cs="宋体"/>
                      <w:szCs w:val="21"/>
                    </w:rPr>
                  </w:pPr>
                  <w:r>
                    <w:rPr>
                      <w:rFonts w:hint="eastAsia" w:cs="宋体"/>
                      <w:szCs w:val="21"/>
                    </w:rPr>
                    <w:t>排放量</w:t>
                  </w:r>
                </w:p>
                <w:p>
                  <w:pPr>
                    <w:autoSpaceDE w:val="0"/>
                    <w:autoSpaceDN w:val="0"/>
                    <w:spacing w:line="240" w:lineRule="auto"/>
                    <w:jc w:val="center"/>
                    <w:textAlignment w:val="auto"/>
                    <w:rPr>
                      <w:rFonts w:cs="宋体"/>
                      <w:szCs w:val="21"/>
                    </w:rPr>
                  </w:pPr>
                  <w:r>
                    <w:rPr>
                      <w:rFonts w:hint="eastAsia" w:cs="宋体"/>
                      <w:szCs w:val="21"/>
                    </w:rPr>
                    <w:t>t/a</w:t>
                  </w:r>
                </w:p>
              </w:tc>
              <w:tc>
                <w:tcPr>
                  <w:tcW w:w="998" w:type="dxa"/>
                  <w:vAlign w:val="center"/>
                </w:tcPr>
                <w:p>
                  <w:pPr>
                    <w:autoSpaceDE w:val="0"/>
                    <w:autoSpaceDN w:val="0"/>
                    <w:spacing w:line="240" w:lineRule="auto"/>
                    <w:jc w:val="center"/>
                    <w:textAlignment w:val="auto"/>
                    <w:rPr>
                      <w:rFonts w:cs="宋体"/>
                      <w:szCs w:val="21"/>
                    </w:rPr>
                  </w:pPr>
                  <w:r>
                    <w:rPr>
                      <w:rFonts w:hint="eastAsia" w:cs="宋体"/>
                      <w:szCs w:val="21"/>
                    </w:rPr>
                    <w:t>排放速率</w:t>
                  </w:r>
                </w:p>
                <w:p>
                  <w:pPr>
                    <w:autoSpaceDE w:val="0"/>
                    <w:autoSpaceDN w:val="0"/>
                    <w:spacing w:line="240" w:lineRule="auto"/>
                    <w:jc w:val="center"/>
                    <w:textAlignment w:val="auto"/>
                    <w:rPr>
                      <w:rFonts w:cs="宋体"/>
                      <w:szCs w:val="21"/>
                    </w:rPr>
                  </w:pPr>
                  <w:r>
                    <w:rPr>
                      <w:rFonts w:cs="宋体"/>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048" w:type="dxa"/>
                  <w:vMerge w:val="restart"/>
                  <w:vAlign w:val="center"/>
                </w:tcPr>
                <w:p>
                  <w:pPr>
                    <w:autoSpaceDE w:val="0"/>
                    <w:autoSpaceDN w:val="0"/>
                    <w:spacing w:line="240" w:lineRule="auto"/>
                    <w:jc w:val="center"/>
                    <w:textAlignment w:val="auto"/>
                    <w:rPr>
                      <w:rFonts w:cs="宋体"/>
                      <w:szCs w:val="21"/>
                    </w:rPr>
                  </w:pPr>
                  <w:r>
                    <w:rPr>
                      <w:rFonts w:hint="eastAsia" w:cs="宋体"/>
                      <w:szCs w:val="21"/>
                    </w:rPr>
                    <w:t>1</w:t>
                  </w:r>
                  <w:r>
                    <w:rPr>
                      <w:rFonts w:cs="宋体"/>
                      <w:szCs w:val="21"/>
                    </w:rPr>
                    <w:t>20</w:t>
                  </w:r>
                  <w:r>
                    <w:rPr>
                      <w:rFonts w:hint="eastAsia" w:cs="宋体"/>
                      <w:szCs w:val="21"/>
                    </w:rPr>
                    <w:t>t</w:t>
                  </w:r>
                  <w:r>
                    <w:rPr>
                      <w:rFonts w:cs="宋体"/>
                      <w:szCs w:val="21"/>
                    </w:rPr>
                    <w:t>/</w:t>
                  </w:r>
                  <w:r>
                    <w:rPr>
                      <w:rFonts w:hint="eastAsia" w:cs="宋体"/>
                      <w:szCs w:val="21"/>
                    </w:rPr>
                    <w:t>d</w:t>
                  </w:r>
                </w:p>
              </w:tc>
              <w:tc>
                <w:tcPr>
                  <w:tcW w:w="999" w:type="dxa"/>
                  <w:vAlign w:val="center"/>
                </w:tcPr>
                <w:p>
                  <w:pPr>
                    <w:autoSpaceDE w:val="0"/>
                    <w:autoSpaceDN w:val="0"/>
                    <w:spacing w:line="240" w:lineRule="auto"/>
                    <w:jc w:val="center"/>
                    <w:textAlignment w:val="auto"/>
                    <w:rPr>
                      <w:rFonts w:cs="宋体"/>
                      <w:szCs w:val="21"/>
                    </w:rPr>
                  </w:pPr>
                  <w:r>
                    <w:rPr>
                      <w:rFonts w:hint="eastAsia" w:cs="宋体"/>
                      <w:szCs w:val="21"/>
                    </w:rPr>
                    <w:t>N</w:t>
                  </w:r>
                  <w:r>
                    <w:rPr>
                      <w:rFonts w:hint="eastAsia" w:cs="宋体"/>
                      <w:szCs w:val="21"/>
                      <w:vertAlign w:val="subscript"/>
                    </w:rPr>
                    <w:t>3</w:t>
                  </w:r>
                  <w:r>
                    <w:rPr>
                      <w:rFonts w:hint="eastAsia" w:cs="宋体"/>
                      <w:szCs w:val="21"/>
                    </w:rPr>
                    <w:t>H</w:t>
                  </w:r>
                </w:p>
              </w:tc>
              <w:tc>
                <w:tcPr>
                  <w:tcW w:w="1270" w:type="dxa"/>
                  <w:vAlign w:val="center"/>
                </w:tcPr>
                <w:p>
                  <w:pPr>
                    <w:widowControl/>
                    <w:adjustRightInd/>
                    <w:spacing w:line="240" w:lineRule="auto"/>
                    <w:jc w:val="center"/>
                    <w:textAlignment w:val="auto"/>
                    <w:rPr>
                      <w:szCs w:val="21"/>
                    </w:rPr>
                  </w:pPr>
                  <w:r>
                    <w:rPr>
                      <w:rFonts w:hint="eastAsia"/>
                      <w:szCs w:val="21"/>
                    </w:rPr>
                    <w:t>2.0445</w:t>
                  </w:r>
                </w:p>
              </w:tc>
              <w:tc>
                <w:tcPr>
                  <w:tcW w:w="991" w:type="dxa"/>
                  <w:vAlign w:val="center"/>
                </w:tcPr>
                <w:p>
                  <w:pPr>
                    <w:autoSpaceDE w:val="0"/>
                    <w:autoSpaceDN w:val="0"/>
                    <w:spacing w:line="240" w:lineRule="auto"/>
                    <w:jc w:val="center"/>
                    <w:textAlignment w:val="auto"/>
                    <w:rPr>
                      <w:rFonts w:cs="宋体"/>
                      <w:szCs w:val="21"/>
                    </w:rPr>
                  </w:pPr>
                  <w:r>
                    <w:rPr>
                      <w:rFonts w:hint="eastAsia"/>
                      <w:szCs w:val="21"/>
                    </w:rPr>
                    <w:t>0.1325</w:t>
                  </w:r>
                </w:p>
              </w:tc>
              <w:tc>
                <w:tcPr>
                  <w:tcW w:w="1417" w:type="dxa"/>
                  <w:vMerge w:val="restart"/>
                  <w:vAlign w:val="center"/>
                </w:tcPr>
                <w:p>
                  <w:pPr>
                    <w:autoSpaceDE w:val="0"/>
                    <w:autoSpaceDN w:val="0"/>
                    <w:spacing w:line="240" w:lineRule="auto"/>
                    <w:jc w:val="center"/>
                    <w:textAlignment w:val="auto"/>
                    <w:rPr>
                      <w:rFonts w:cs="宋体"/>
                      <w:szCs w:val="21"/>
                    </w:rPr>
                  </w:pPr>
                  <w:r>
                    <w:rPr>
                      <w:rFonts w:hint="eastAsia" w:cs="宋体"/>
                      <w:szCs w:val="21"/>
                    </w:rPr>
                    <w:t>雾化喷淋</w:t>
                  </w:r>
                </w:p>
              </w:tc>
              <w:tc>
                <w:tcPr>
                  <w:tcW w:w="993" w:type="dxa"/>
                  <w:vAlign w:val="center"/>
                </w:tcPr>
                <w:p>
                  <w:pPr>
                    <w:autoSpaceDE w:val="0"/>
                    <w:autoSpaceDN w:val="0"/>
                    <w:spacing w:line="240" w:lineRule="auto"/>
                    <w:jc w:val="center"/>
                    <w:textAlignment w:val="auto"/>
                    <w:rPr>
                      <w:rFonts w:cs="宋体"/>
                      <w:szCs w:val="21"/>
                    </w:rPr>
                  </w:pPr>
                  <w:r>
                    <w:rPr>
                      <w:rFonts w:cs="宋体"/>
                      <w:szCs w:val="21"/>
                    </w:rPr>
                    <w:t>70</w:t>
                  </w:r>
                  <w:r>
                    <w:rPr>
                      <w:rFonts w:hint="eastAsia" w:cs="宋体"/>
                      <w:szCs w:val="21"/>
                    </w:rPr>
                    <w:t>%</w:t>
                  </w:r>
                </w:p>
              </w:tc>
              <w:tc>
                <w:tcPr>
                  <w:tcW w:w="847" w:type="dxa"/>
                  <w:vAlign w:val="center"/>
                </w:tcPr>
                <w:p>
                  <w:pPr>
                    <w:autoSpaceDE w:val="0"/>
                    <w:autoSpaceDN w:val="0"/>
                    <w:spacing w:line="240" w:lineRule="auto"/>
                    <w:jc w:val="center"/>
                    <w:textAlignment w:val="auto"/>
                    <w:rPr>
                      <w:rFonts w:cs="宋体"/>
                      <w:szCs w:val="21"/>
                    </w:rPr>
                  </w:pPr>
                  <w:r>
                    <w:rPr>
                      <w:rFonts w:hint="eastAsia"/>
                      <w:szCs w:val="21"/>
                    </w:rPr>
                    <w:t>0.0063</w:t>
                  </w:r>
                </w:p>
              </w:tc>
              <w:tc>
                <w:tcPr>
                  <w:tcW w:w="998" w:type="dxa"/>
                  <w:vAlign w:val="center"/>
                </w:tcPr>
                <w:p>
                  <w:pPr>
                    <w:autoSpaceDE w:val="0"/>
                    <w:autoSpaceDN w:val="0"/>
                    <w:spacing w:line="240" w:lineRule="auto"/>
                    <w:jc w:val="center"/>
                    <w:textAlignment w:val="auto"/>
                    <w:rPr>
                      <w:rFonts w:cs="宋体"/>
                      <w:szCs w:val="21"/>
                    </w:rPr>
                  </w:pPr>
                  <w:r>
                    <w:rPr>
                      <w:rFonts w:hint="eastAsia"/>
                      <w:szCs w:val="21"/>
                    </w:rPr>
                    <w:t>0.0022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048" w:type="dxa"/>
                  <w:vMerge w:val="continue"/>
                  <w:vAlign w:val="center"/>
                </w:tcPr>
                <w:p>
                  <w:pPr>
                    <w:autoSpaceDE w:val="0"/>
                    <w:autoSpaceDN w:val="0"/>
                    <w:spacing w:line="240" w:lineRule="auto"/>
                    <w:jc w:val="center"/>
                    <w:textAlignment w:val="auto"/>
                    <w:rPr>
                      <w:rFonts w:cs="宋体"/>
                      <w:szCs w:val="21"/>
                    </w:rPr>
                  </w:pPr>
                </w:p>
              </w:tc>
              <w:tc>
                <w:tcPr>
                  <w:tcW w:w="999" w:type="dxa"/>
                  <w:vAlign w:val="center"/>
                </w:tcPr>
                <w:p>
                  <w:pPr>
                    <w:autoSpaceDE w:val="0"/>
                    <w:autoSpaceDN w:val="0"/>
                    <w:spacing w:line="240" w:lineRule="auto"/>
                    <w:jc w:val="center"/>
                    <w:textAlignment w:val="auto"/>
                    <w:rPr>
                      <w:rFonts w:cs="宋体"/>
                      <w:szCs w:val="21"/>
                    </w:rPr>
                  </w:pPr>
                  <w:r>
                    <w:rPr>
                      <w:rFonts w:hint="eastAsia" w:cs="宋体"/>
                      <w:szCs w:val="21"/>
                    </w:rPr>
                    <w:t>H</w:t>
                  </w:r>
                  <w:r>
                    <w:rPr>
                      <w:rFonts w:hint="eastAsia" w:cs="宋体"/>
                      <w:szCs w:val="21"/>
                      <w:vertAlign w:val="subscript"/>
                    </w:rPr>
                    <w:t>2</w:t>
                  </w:r>
                  <w:r>
                    <w:rPr>
                      <w:rFonts w:hint="eastAsia" w:cs="宋体"/>
                      <w:szCs w:val="21"/>
                    </w:rPr>
                    <w:t>S</w:t>
                  </w:r>
                </w:p>
              </w:tc>
              <w:tc>
                <w:tcPr>
                  <w:tcW w:w="1270" w:type="dxa"/>
                  <w:vAlign w:val="center"/>
                </w:tcPr>
                <w:p>
                  <w:pPr>
                    <w:spacing w:line="240" w:lineRule="auto"/>
                    <w:jc w:val="center"/>
                    <w:rPr>
                      <w:szCs w:val="21"/>
                    </w:rPr>
                  </w:pPr>
                  <w:r>
                    <w:rPr>
                      <w:rFonts w:hint="eastAsia"/>
                      <w:szCs w:val="21"/>
                    </w:rPr>
                    <w:t>0.2080</w:t>
                  </w:r>
                </w:p>
              </w:tc>
              <w:tc>
                <w:tcPr>
                  <w:tcW w:w="991" w:type="dxa"/>
                  <w:vAlign w:val="center"/>
                </w:tcPr>
                <w:p>
                  <w:pPr>
                    <w:autoSpaceDE w:val="0"/>
                    <w:autoSpaceDN w:val="0"/>
                    <w:spacing w:line="240" w:lineRule="auto"/>
                    <w:jc w:val="center"/>
                    <w:textAlignment w:val="auto"/>
                    <w:rPr>
                      <w:rFonts w:cs="宋体"/>
                      <w:szCs w:val="21"/>
                    </w:rPr>
                  </w:pPr>
                  <w:r>
                    <w:rPr>
                      <w:rFonts w:hint="eastAsia"/>
                      <w:szCs w:val="21"/>
                    </w:rPr>
                    <w:t>0.0135</w:t>
                  </w:r>
                </w:p>
              </w:tc>
              <w:tc>
                <w:tcPr>
                  <w:tcW w:w="1417" w:type="dxa"/>
                  <w:vMerge w:val="continue"/>
                  <w:vAlign w:val="center"/>
                </w:tcPr>
                <w:p>
                  <w:pPr>
                    <w:autoSpaceDE w:val="0"/>
                    <w:autoSpaceDN w:val="0"/>
                    <w:spacing w:line="240" w:lineRule="auto"/>
                    <w:jc w:val="center"/>
                    <w:textAlignment w:val="auto"/>
                    <w:rPr>
                      <w:rFonts w:cs="宋体"/>
                      <w:szCs w:val="21"/>
                    </w:rPr>
                  </w:pPr>
                </w:p>
              </w:tc>
              <w:tc>
                <w:tcPr>
                  <w:tcW w:w="993" w:type="dxa"/>
                  <w:vAlign w:val="center"/>
                </w:tcPr>
                <w:p>
                  <w:pPr>
                    <w:autoSpaceDE w:val="0"/>
                    <w:autoSpaceDN w:val="0"/>
                    <w:spacing w:line="240" w:lineRule="auto"/>
                    <w:jc w:val="center"/>
                    <w:textAlignment w:val="auto"/>
                    <w:rPr>
                      <w:rFonts w:cs="宋体"/>
                      <w:szCs w:val="21"/>
                    </w:rPr>
                  </w:pPr>
                  <w:r>
                    <w:rPr>
                      <w:rFonts w:cs="宋体"/>
                      <w:szCs w:val="21"/>
                    </w:rPr>
                    <w:t>70</w:t>
                  </w:r>
                  <w:r>
                    <w:rPr>
                      <w:rFonts w:hint="eastAsia" w:cs="宋体"/>
                      <w:szCs w:val="21"/>
                    </w:rPr>
                    <w:t>%</w:t>
                  </w:r>
                </w:p>
              </w:tc>
              <w:tc>
                <w:tcPr>
                  <w:tcW w:w="847" w:type="dxa"/>
                  <w:vAlign w:val="center"/>
                </w:tcPr>
                <w:p>
                  <w:pPr>
                    <w:autoSpaceDE w:val="0"/>
                    <w:autoSpaceDN w:val="0"/>
                    <w:spacing w:line="240" w:lineRule="auto"/>
                    <w:jc w:val="center"/>
                    <w:textAlignment w:val="auto"/>
                    <w:rPr>
                      <w:rFonts w:cs="宋体"/>
                      <w:szCs w:val="21"/>
                    </w:rPr>
                  </w:pPr>
                  <w:r>
                    <w:rPr>
                      <w:rFonts w:hint="eastAsia"/>
                      <w:szCs w:val="21"/>
                    </w:rPr>
                    <w:t>0.0007</w:t>
                  </w:r>
                </w:p>
              </w:tc>
              <w:tc>
                <w:tcPr>
                  <w:tcW w:w="998" w:type="dxa"/>
                  <w:vAlign w:val="center"/>
                </w:tcPr>
                <w:p>
                  <w:pPr>
                    <w:autoSpaceDE w:val="0"/>
                    <w:autoSpaceDN w:val="0"/>
                    <w:spacing w:line="240" w:lineRule="auto"/>
                    <w:jc w:val="center"/>
                    <w:textAlignment w:val="auto"/>
                    <w:rPr>
                      <w:rFonts w:cs="宋体"/>
                      <w:szCs w:val="21"/>
                    </w:rPr>
                  </w:pPr>
                  <w:r>
                    <w:rPr>
                      <w:rFonts w:hint="eastAsia"/>
                      <w:szCs w:val="21"/>
                    </w:rPr>
                    <w:t>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048" w:type="dxa"/>
                  <w:vMerge w:val="restart"/>
                  <w:vAlign w:val="center"/>
                </w:tcPr>
                <w:p>
                  <w:pPr>
                    <w:autoSpaceDE w:val="0"/>
                    <w:autoSpaceDN w:val="0"/>
                    <w:spacing w:line="240" w:lineRule="auto"/>
                    <w:jc w:val="center"/>
                    <w:textAlignment w:val="auto"/>
                    <w:rPr>
                      <w:rFonts w:cs="宋体"/>
                      <w:szCs w:val="21"/>
                    </w:rPr>
                  </w:pPr>
                  <w:r>
                    <w:rPr>
                      <w:rFonts w:hint="eastAsia" w:cs="宋体"/>
                      <w:szCs w:val="21"/>
                    </w:rPr>
                    <w:t>2</w:t>
                  </w:r>
                  <w:r>
                    <w:rPr>
                      <w:rFonts w:cs="宋体"/>
                      <w:szCs w:val="21"/>
                    </w:rPr>
                    <w:t>0</w:t>
                  </w:r>
                  <w:r>
                    <w:rPr>
                      <w:rFonts w:hint="eastAsia" w:cs="宋体"/>
                      <w:szCs w:val="21"/>
                    </w:rPr>
                    <w:t>t/d</w:t>
                  </w:r>
                </w:p>
              </w:tc>
              <w:tc>
                <w:tcPr>
                  <w:tcW w:w="999" w:type="dxa"/>
                  <w:vAlign w:val="center"/>
                </w:tcPr>
                <w:p>
                  <w:pPr>
                    <w:autoSpaceDE w:val="0"/>
                    <w:autoSpaceDN w:val="0"/>
                    <w:spacing w:line="240" w:lineRule="auto"/>
                    <w:jc w:val="center"/>
                    <w:textAlignment w:val="auto"/>
                    <w:rPr>
                      <w:rFonts w:cs="宋体"/>
                      <w:szCs w:val="21"/>
                    </w:rPr>
                  </w:pPr>
                  <w:r>
                    <w:rPr>
                      <w:rFonts w:hint="eastAsia" w:cs="宋体"/>
                      <w:szCs w:val="21"/>
                    </w:rPr>
                    <w:t>N</w:t>
                  </w:r>
                  <w:r>
                    <w:rPr>
                      <w:rFonts w:hint="eastAsia" w:cs="宋体"/>
                      <w:szCs w:val="21"/>
                      <w:vertAlign w:val="subscript"/>
                    </w:rPr>
                    <w:t>3</w:t>
                  </w:r>
                  <w:r>
                    <w:rPr>
                      <w:rFonts w:hint="eastAsia" w:cs="宋体"/>
                      <w:szCs w:val="21"/>
                    </w:rPr>
                    <w:t>H</w:t>
                  </w:r>
                </w:p>
              </w:tc>
              <w:tc>
                <w:tcPr>
                  <w:tcW w:w="1270" w:type="dxa"/>
                  <w:vAlign w:val="center"/>
                </w:tcPr>
                <w:p>
                  <w:pPr>
                    <w:spacing w:line="240" w:lineRule="auto"/>
                    <w:jc w:val="center"/>
                    <w:rPr>
                      <w:szCs w:val="21"/>
                    </w:rPr>
                  </w:pPr>
                  <w:r>
                    <w:rPr>
                      <w:rFonts w:hint="eastAsia"/>
                      <w:szCs w:val="21"/>
                    </w:rPr>
                    <w:t>0.3405</w:t>
                  </w:r>
                </w:p>
              </w:tc>
              <w:tc>
                <w:tcPr>
                  <w:tcW w:w="991" w:type="dxa"/>
                  <w:vAlign w:val="center"/>
                </w:tcPr>
                <w:p>
                  <w:pPr>
                    <w:autoSpaceDE w:val="0"/>
                    <w:autoSpaceDN w:val="0"/>
                    <w:spacing w:line="240" w:lineRule="auto"/>
                    <w:jc w:val="center"/>
                    <w:textAlignment w:val="auto"/>
                    <w:rPr>
                      <w:rFonts w:cs="宋体"/>
                      <w:szCs w:val="21"/>
                    </w:rPr>
                  </w:pPr>
                  <w:r>
                    <w:rPr>
                      <w:rFonts w:hint="eastAsia"/>
                      <w:szCs w:val="21"/>
                    </w:rPr>
                    <w:t>0.0220</w:t>
                  </w:r>
                </w:p>
              </w:tc>
              <w:tc>
                <w:tcPr>
                  <w:tcW w:w="1417" w:type="dxa"/>
                  <w:vMerge w:val="continue"/>
                  <w:vAlign w:val="center"/>
                </w:tcPr>
                <w:p>
                  <w:pPr>
                    <w:autoSpaceDE w:val="0"/>
                    <w:autoSpaceDN w:val="0"/>
                    <w:spacing w:line="240" w:lineRule="auto"/>
                    <w:jc w:val="center"/>
                    <w:textAlignment w:val="auto"/>
                    <w:rPr>
                      <w:rFonts w:cs="宋体"/>
                      <w:szCs w:val="21"/>
                    </w:rPr>
                  </w:pPr>
                </w:p>
              </w:tc>
              <w:tc>
                <w:tcPr>
                  <w:tcW w:w="993" w:type="dxa"/>
                  <w:vAlign w:val="center"/>
                </w:tcPr>
                <w:p>
                  <w:pPr>
                    <w:autoSpaceDE w:val="0"/>
                    <w:autoSpaceDN w:val="0"/>
                    <w:spacing w:line="240" w:lineRule="auto"/>
                    <w:jc w:val="center"/>
                    <w:textAlignment w:val="auto"/>
                    <w:rPr>
                      <w:rFonts w:cs="宋体"/>
                      <w:szCs w:val="21"/>
                    </w:rPr>
                  </w:pPr>
                  <w:r>
                    <w:rPr>
                      <w:rFonts w:cs="宋体"/>
                      <w:szCs w:val="21"/>
                    </w:rPr>
                    <w:t>70</w:t>
                  </w:r>
                  <w:r>
                    <w:rPr>
                      <w:rFonts w:hint="eastAsia" w:cs="宋体"/>
                      <w:szCs w:val="21"/>
                    </w:rPr>
                    <w:t>%</w:t>
                  </w:r>
                </w:p>
              </w:tc>
              <w:tc>
                <w:tcPr>
                  <w:tcW w:w="847" w:type="dxa"/>
                  <w:vAlign w:val="center"/>
                </w:tcPr>
                <w:p>
                  <w:pPr>
                    <w:autoSpaceDE w:val="0"/>
                    <w:autoSpaceDN w:val="0"/>
                    <w:spacing w:line="240" w:lineRule="auto"/>
                    <w:jc w:val="center"/>
                    <w:textAlignment w:val="auto"/>
                    <w:rPr>
                      <w:rFonts w:cs="宋体"/>
                      <w:szCs w:val="21"/>
                    </w:rPr>
                  </w:pPr>
                  <w:r>
                    <w:rPr>
                      <w:rFonts w:hint="eastAsia"/>
                      <w:szCs w:val="21"/>
                    </w:rPr>
                    <w:t>0.0010</w:t>
                  </w:r>
                </w:p>
              </w:tc>
              <w:tc>
                <w:tcPr>
                  <w:tcW w:w="998" w:type="dxa"/>
                  <w:vAlign w:val="center"/>
                </w:tcPr>
                <w:p>
                  <w:pPr>
                    <w:autoSpaceDE w:val="0"/>
                    <w:autoSpaceDN w:val="0"/>
                    <w:spacing w:line="240" w:lineRule="auto"/>
                    <w:jc w:val="center"/>
                    <w:textAlignment w:val="auto"/>
                    <w:rPr>
                      <w:rFonts w:cs="宋体"/>
                      <w:szCs w:val="21"/>
                    </w:rPr>
                  </w:pPr>
                  <w:r>
                    <w:rPr>
                      <w:rFonts w:hint="eastAsia"/>
                      <w:szCs w:val="21"/>
                    </w:rPr>
                    <w:t>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 w:type="dxa"/>
                  <w:vMerge w:val="continue"/>
                  <w:vAlign w:val="center"/>
                </w:tcPr>
                <w:p>
                  <w:pPr>
                    <w:autoSpaceDE w:val="0"/>
                    <w:autoSpaceDN w:val="0"/>
                    <w:spacing w:line="240" w:lineRule="auto"/>
                    <w:jc w:val="center"/>
                    <w:textAlignment w:val="auto"/>
                    <w:rPr>
                      <w:rFonts w:cs="宋体"/>
                      <w:szCs w:val="21"/>
                    </w:rPr>
                  </w:pPr>
                </w:p>
              </w:tc>
              <w:tc>
                <w:tcPr>
                  <w:tcW w:w="999" w:type="dxa"/>
                  <w:vAlign w:val="center"/>
                </w:tcPr>
                <w:p>
                  <w:pPr>
                    <w:autoSpaceDE w:val="0"/>
                    <w:autoSpaceDN w:val="0"/>
                    <w:spacing w:line="240" w:lineRule="auto"/>
                    <w:jc w:val="center"/>
                    <w:textAlignment w:val="auto"/>
                    <w:rPr>
                      <w:rFonts w:cs="宋体"/>
                      <w:szCs w:val="21"/>
                    </w:rPr>
                  </w:pPr>
                  <w:r>
                    <w:rPr>
                      <w:rFonts w:hint="eastAsia" w:cs="宋体"/>
                      <w:szCs w:val="21"/>
                    </w:rPr>
                    <w:t>H</w:t>
                  </w:r>
                  <w:r>
                    <w:rPr>
                      <w:rFonts w:hint="eastAsia" w:cs="宋体"/>
                      <w:szCs w:val="21"/>
                      <w:vertAlign w:val="subscript"/>
                    </w:rPr>
                    <w:t>2</w:t>
                  </w:r>
                  <w:r>
                    <w:rPr>
                      <w:rFonts w:hint="eastAsia" w:cs="宋体"/>
                      <w:szCs w:val="21"/>
                    </w:rPr>
                    <w:t>S</w:t>
                  </w:r>
                </w:p>
              </w:tc>
              <w:tc>
                <w:tcPr>
                  <w:tcW w:w="1270" w:type="dxa"/>
                  <w:vAlign w:val="center"/>
                </w:tcPr>
                <w:p>
                  <w:pPr>
                    <w:spacing w:line="240" w:lineRule="auto"/>
                    <w:jc w:val="center"/>
                    <w:rPr>
                      <w:szCs w:val="21"/>
                    </w:rPr>
                  </w:pPr>
                  <w:r>
                    <w:rPr>
                      <w:rFonts w:hint="eastAsia"/>
                      <w:szCs w:val="21"/>
                    </w:rPr>
                    <w:t>0.0350</w:t>
                  </w:r>
                </w:p>
              </w:tc>
              <w:tc>
                <w:tcPr>
                  <w:tcW w:w="991" w:type="dxa"/>
                  <w:vAlign w:val="center"/>
                </w:tcPr>
                <w:p>
                  <w:pPr>
                    <w:autoSpaceDE w:val="0"/>
                    <w:autoSpaceDN w:val="0"/>
                    <w:spacing w:line="240" w:lineRule="auto"/>
                    <w:jc w:val="center"/>
                    <w:textAlignment w:val="auto"/>
                    <w:rPr>
                      <w:rFonts w:cs="宋体"/>
                      <w:szCs w:val="21"/>
                    </w:rPr>
                  </w:pPr>
                  <w:r>
                    <w:rPr>
                      <w:rFonts w:hint="eastAsia"/>
                      <w:szCs w:val="21"/>
                    </w:rPr>
                    <w:t>0.0023</w:t>
                  </w:r>
                </w:p>
              </w:tc>
              <w:tc>
                <w:tcPr>
                  <w:tcW w:w="1417" w:type="dxa"/>
                  <w:vMerge w:val="continue"/>
                  <w:vAlign w:val="center"/>
                </w:tcPr>
                <w:p>
                  <w:pPr>
                    <w:autoSpaceDE w:val="0"/>
                    <w:autoSpaceDN w:val="0"/>
                    <w:spacing w:line="240" w:lineRule="auto"/>
                    <w:jc w:val="center"/>
                    <w:textAlignment w:val="auto"/>
                    <w:rPr>
                      <w:rFonts w:cs="宋体"/>
                      <w:szCs w:val="21"/>
                    </w:rPr>
                  </w:pPr>
                </w:p>
              </w:tc>
              <w:tc>
                <w:tcPr>
                  <w:tcW w:w="993" w:type="dxa"/>
                  <w:vAlign w:val="center"/>
                </w:tcPr>
                <w:p>
                  <w:pPr>
                    <w:autoSpaceDE w:val="0"/>
                    <w:autoSpaceDN w:val="0"/>
                    <w:spacing w:line="240" w:lineRule="auto"/>
                    <w:jc w:val="center"/>
                    <w:textAlignment w:val="auto"/>
                    <w:rPr>
                      <w:rFonts w:cs="宋体"/>
                      <w:szCs w:val="21"/>
                    </w:rPr>
                  </w:pPr>
                  <w:r>
                    <w:rPr>
                      <w:rFonts w:cs="宋体"/>
                      <w:szCs w:val="21"/>
                    </w:rPr>
                    <w:t>70</w:t>
                  </w:r>
                  <w:r>
                    <w:rPr>
                      <w:rFonts w:hint="eastAsia" w:cs="宋体"/>
                      <w:szCs w:val="21"/>
                    </w:rPr>
                    <w:t>%</w:t>
                  </w:r>
                </w:p>
              </w:tc>
              <w:tc>
                <w:tcPr>
                  <w:tcW w:w="847" w:type="dxa"/>
                  <w:vAlign w:val="center"/>
                </w:tcPr>
                <w:p>
                  <w:pPr>
                    <w:autoSpaceDE w:val="0"/>
                    <w:autoSpaceDN w:val="0"/>
                    <w:spacing w:line="240" w:lineRule="auto"/>
                    <w:jc w:val="center"/>
                    <w:textAlignment w:val="auto"/>
                    <w:rPr>
                      <w:rFonts w:cs="宋体"/>
                      <w:szCs w:val="21"/>
                    </w:rPr>
                  </w:pPr>
                  <w:r>
                    <w:rPr>
                      <w:rFonts w:hint="eastAsia"/>
                      <w:szCs w:val="21"/>
                    </w:rPr>
                    <w:t>0.0001</w:t>
                  </w:r>
                </w:p>
              </w:tc>
              <w:tc>
                <w:tcPr>
                  <w:tcW w:w="998" w:type="dxa"/>
                  <w:vAlign w:val="center"/>
                </w:tcPr>
                <w:p>
                  <w:pPr>
                    <w:autoSpaceDE w:val="0"/>
                    <w:autoSpaceDN w:val="0"/>
                    <w:spacing w:line="240" w:lineRule="auto"/>
                    <w:jc w:val="center"/>
                    <w:textAlignment w:val="auto"/>
                    <w:rPr>
                      <w:rFonts w:cs="宋体"/>
                      <w:szCs w:val="21"/>
                    </w:rPr>
                  </w:pPr>
                  <w:r>
                    <w:rPr>
                      <w:rFonts w:hint="eastAsia"/>
                      <w:szCs w:val="21"/>
                    </w:rPr>
                    <w:t>0.0000</w:t>
                  </w:r>
                  <w:r>
                    <w:rPr>
                      <w:szCs w:val="21"/>
                    </w:rPr>
                    <w:t>4</w:t>
                  </w:r>
                </w:p>
              </w:tc>
            </w:tr>
          </w:tbl>
          <w:p>
            <w:pPr>
              <w:pStyle w:val="105"/>
              <w:spacing w:line="360" w:lineRule="auto"/>
              <w:ind w:firstLine="480" w:firstLineChars="200"/>
              <w:jc w:val="both"/>
              <w:rPr>
                <w:rFonts w:ascii="Times New Roman"/>
                <w:color w:val="auto"/>
              </w:rPr>
            </w:pPr>
            <w:r>
              <w:rPr>
                <w:rFonts w:hint="eastAsia" w:ascii="Times New Roman"/>
                <w:color w:val="auto"/>
              </w:rPr>
              <w:t>（</w:t>
            </w:r>
            <w:r>
              <w:rPr>
                <w:rFonts w:ascii="Times New Roman" w:cs="Times New Roman"/>
                <w:color w:val="auto"/>
              </w:rPr>
              <w:t>2</w:t>
            </w:r>
            <w:r>
              <w:rPr>
                <w:rFonts w:hint="eastAsia" w:ascii="Times New Roman"/>
                <w:color w:val="auto"/>
              </w:rPr>
              <w:t>）运输扬尘、恶臭</w:t>
            </w:r>
          </w:p>
          <w:p>
            <w:pPr>
              <w:spacing w:line="360" w:lineRule="auto"/>
              <w:ind w:firstLine="480" w:firstLineChars="200"/>
              <w:rPr>
                <w:sz w:val="24"/>
                <w:szCs w:val="24"/>
              </w:rPr>
            </w:pPr>
            <w:r>
              <w:rPr>
                <w:rFonts w:hint="eastAsia"/>
                <w:sz w:val="24"/>
                <w:szCs w:val="24"/>
              </w:rPr>
              <w:t>本项目运输产生的污染主要集中于二次运输。二次运输采用密闭式车辆运输，车辆在运行中将产生扬尘及恶臭，道路扬尘、恶臭废气排放局限于转运现场和运输沿线，为无组织排放及非连续性的污染源。</w:t>
            </w:r>
          </w:p>
          <w:p>
            <w:pPr>
              <w:spacing w:line="360" w:lineRule="auto"/>
              <w:ind w:firstLine="480" w:firstLineChars="200"/>
              <w:rPr>
                <w:sz w:val="24"/>
                <w:szCs w:val="24"/>
              </w:rPr>
            </w:pPr>
            <w:r>
              <w:rPr>
                <w:rFonts w:hint="eastAsia"/>
                <w:sz w:val="24"/>
                <w:szCs w:val="24"/>
              </w:rPr>
              <w:t>（3）餐厅油烟</w:t>
            </w:r>
          </w:p>
          <w:p>
            <w:pPr>
              <w:spacing w:line="360" w:lineRule="auto"/>
              <w:ind w:firstLine="480" w:firstLineChars="200"/>
              <w:rPr>
                <w:sz w:val="24"/>
                <w:szCs w:val="24"/>
              </w:rPr>
            </w:pPr>
            <w:r>
              <w:rPr>
                <w:rFonts w:hint="eastAsia"/>
                <w:sz w:val="24"/>
                <w:szCs w:val="24"/>
              </w:rPr>
              <w:t>本项目拟在主城区垃圾转运站建设淋浴餐厅，餐厅以罐装天然气为燃料，运行过程中会产生油烟类污染物。食堂设1个基准灶头，烹调、油炸食物过程中有大量油烟产生，对周围大气环境有一定不利影响。根据类比调查和有关资料显示，每人每天耗食用油量为20g。本项目日就餐人员1</w:t>
            </w:r>
            <w:r>
              <w:rPr>
                <w:sz w:val="24"/>
                <w:szCs w:val="24"/>
              </w:rPr>
              <w:t>1</w:t>
            </w:r>
            <w:r>
              <w:rPr>
                <w:rFonts w:hint="eastAsia"/>
                <w:sz w:val="24"/>
                <w:szCs w:val="24"/>
              </w:rPr>
              <w:t>人</w:t>
            </w:r>
            <w:r>
              <w:rPr>
                <w:sz w:val="24"/>
                <w:szCs w:val="24"/>
              </w:rPr>
              <w:t>/</w:t>
            </w:r>
            <w:r>
              <w:rPr>
                <w:rFonts w:hint="eastAsia"/>
                <w:sz w:val="24"/>
                <w:szCs w:val="24"/>
              </w:rPr>
              <w:t>次，每天耗油0.2</w:t>
            </w:r>
            <w:r>
              <w:rPr>
                <w:sz w:val="24"/>
                <w:szCs w:val="24"/>
              </w:rPr>
              <w:t>2</w:t>
            </w:r>
            <w:r>
              <w:rPr>
                <w:rFonts w:hint="eastAsia"/>
                <w:sz w:val="24"/>
                <w:szCs w:val="24"/>
              </w:rPr>
              <w:t>kg，</w:t>
            </w:r>
            <w:r>
              <w:rPr>
                <w:rFonts w:hint="eastAsia"/>
                <w:sz w:val="24"/>
              </w:rPr>
              <w:t>一般油烟挥发量占总耗油量的</w:t>
            </w:r>
            <w:r>
              <w:rPr>
                <w:sz w:val="24"/>
              </w:rPr>
              <w:t>2</w:t>
            </w:r>
            <w:r>
              <w:rPr>
                <w:rFonts w:hint="eastAsia"/>
                <w:sz w:val="24"/>
              </w:rPr>
              <w:t>～</w:t>
            </w:r>
            <w:r>
              <w:rPr>
                <w:sz w:val="24"/>
              </w:rPr>
              <w:t>4%</w:t>
            </w:r>
            <w:r>
              <w:rPr>
                <w:rFonts w:hint="eastAsia"/>
                <w:sz w:val="24"/>
              </w:rPr>
              <w:t>，平均为</w:t>
            </w:r>
            <w:r>
              <w:rPr>
                <w:sz w:val="24"/>
              </w:rPr>
              <w:t>2.81%</w:t>
            </w:r>
            <w:r>
              <w:rPr>
                <w:rFonts w:hint="eastAsia"/>
                <w:sz w:val="24"/>
                <w:szCs w:val="24"/>
              </w:rPr>
              <w:t>，则每天产生油烟量为</w:t>
            </w:r>
            <w:r>
              <w:rPr>
                <w:sz w:val="24"/>
                <w:szCs w:val="24"/>
              </w:rPr>
              <w:t>2.06</w:t>
            </w:r>
            <w:r>
              <w:rPr>
                <w:rFonts w:hint="eastAsia"/>
                <w:sz w:val="24"/>
                <w:szCs w:val="24"/>
              </w:rPr>
              <w:t>g</w:t>
            </w:r>
            <w:r>
              <w:rPr>
                <w:sz w:val="24"/>
                <w:szCs w:val="24"/>
              </w:rPr>
              <w:t>/</w:t>
            </w:r>
            <w:r>
              <w:rPr>
                <w:rFonts w:hint="eastAsia"/>
                <w:sz w:val="24"/>
                <w:szCs w:val="24"/>
              </w:rPr>
              <w:t>h，油烟产生浓度为</w:t>
            </w:r>
            <w:r>
              <w:rPr>
                <w:sz w:val="24"/>
                <w:szCs w:val="24"/>
              </w:rPr>
              <w:t>1.03</w:t>
            </w:r>
            <w:r>
              <w:rPr>
                <w:rFonts w:hint="eastAsia"/>
                <w:sz w:val="24"/>
                <w:szCs w:val="24"/>
              </w:rPr>
              <w:t>mg/m</w:t>
            </w:r>
            <w:r>
              <w:rPr>
                <w:sz w:val="24"/>
                <w:szCs w:val="24"/>
                <w:vertAlign w:val="superscript"/>
              </w:rPr>
              <w:t>3</w:t>
            </w:r>
            <w:r>
              <w:rPr>
                <w:rFonts w:hint="eastAsia"/>
                <w:sz w:val="24"/>
                <w:szCs w:val="24"/>
              </w:rPr>
              <w:t>（</w:t>
            </w:r>
            <w:r>
              <w:rPr>
                <w:rFonts w:hint="eastAsia"/>
                <w:sz w:val="24"/>
              </w:rPr>
              <w:t>每天</w:t>
            </w:r>
            <w:r>
              <w:rPr>
                <w:sz w:val="24"/>
              </w:rPr>
              <w:t>2</w:t>
            </w:r>
            <w:r>
              <w:rPr>
                <w:rFonts w:hint="eastAsia"/>
                <w:sz w:val="24"/>
              </w:rPr>
              <w:t>餐，炊事时间为3</w:t>
            </w:r>
            <w:r>
              <w:rPr>
                <w:sz w:val="24"/>
              </w:rPr>
              <w:t>h</w:t>
            </w:r>
            <w:r>
              <w:rPr>
                <w:rFonts w:hint="eastAsia"/>
                <w:sz w:val="24"/>
                <w:szCs w:val="24"/>
              </w:rPr>
              <w:t>计，风机风量按2000m</w:t>
            </w:r>
            <w:r>
              <w:rPr>
                <w:sz w:val="24"/>
                <w:szCs w:val="24"/>
                <w:vertAlign w:val="superscript"/>
              </w:rPr>
              <w:t>3</w:t>
            </w:r>
            <w:r>
              <w:rPr>
                <w:rFonts w:hint="eastAsia"/>
                <w:sz w:val="24"/>
                <w:szCs w:val="24"/>
              </w:rPr>
              <w:t>/h</w:t>
            </w:r>
            <w:r>
              <w:rPr>
                <w:sz w:val="24"/>
                <w:szCs w:val="24"/>
              </w:rPr>
              <w:t>·</w:t>
            </w:r>
            <w:r>
              <w:rPr>
                <w:rFonts w:hint="eastAsia"/>
                <w:sz w:val="24"/>
                <w:szCs w:val="24"/>
              </w:rPr>
              <w:t>个基准灶头计）。</w:t>
            </w:r>
            <w:r>
              <w:rPr>
                <w:rFonts w:hint="eastAsia"/>
                <w:sz w:val="24"/>
              </w:rPr>
              <w:t>根据《饮食业油烟排放标准》（</w:t>
            </w:r>
            <w:r>
              <w:rPr>
                <w:sz w:val="24"/>
              </w:rPr>
              <w:t>GB18483-2001</w:t>
            </w:r>
            <w:r>
              <w:rPr>
                <w:rFonts w:hint="eastAsia"/>
                <w:sz w:val="24"/>
              </w:rPr>
              <w:t>）中的有关规定，建设单位拟安装处理效率不小于</w:t>
            </w:r>
            <w:r>
              <w:rPr>
                <w:sz w:val="24"/>
              </w:rPr>
              <w:t>60%</w:t>
            </w:r>
            <w:r>
              <w:rPr>
                <w:rFonts w:hint="eastAsia"/>
                <w:sz w:val="24"/>
              </w:rPr>
              <w:t>的静电式油烟净化器对厨房排出的油烟进行净化，净化后的油烟排气筒出口朝向应避免易受影响的建筑物。经处理后的油烟浓度约为</w:t>
            </w:r>
            <w:r>
              <w:rPr>
                <w:sz w:val="24"/>
              </w:rPr>
              <w:t>0.15mg/m</w:t>
            </w:r>
            <w:r>
              <w:rPr>
                <w:sz w:val="24"/>
                <w:vertAlign w:val="superscript"/>
              </w:rPr>
              <w:t>3</w:t>
            </w:r>
            <w:r>
              <w:rPr>
                <w:rFonts w:hint="eastAsia"/>
                <w:sz w:val="24"/>
              </w:rPr>
              <w:t>，可满足《饮食业油烟排放标准》（</w:t>
            </w:r>
            <w:r>
              <w:rPr>
                <w:sz w:val="24"/>
              </w:rPr>
              <w:t>GB18483-2001</w:t>
            </w:r>
            <w:r>
              <w:rPr>
                <w:rFonts w:hint="eastAsia"/>
                <w:sz w:val="24"/>
              </w:rPr>
              <w:t>）表2中型规模最高允许排放浓度。</w:t>
            </w:r>
          </w:p>
          <w:p>
            <w:pPr>
              <w:spacing w:line="360" w:lineRule="auto"/>
              <w:ind w:firstLine="482" w:firstLineChars="200"/>
              <w:rPr>
                <w:b/>
                <w:snapToGrid w:val="0"/>
                <w:sz w:val="24"/>
                <w:szCs w:val="24"/>
              </w:rPr>
            </w:pPr>
            <w:r>
              <w:rPr>
                <w:b/>
                <w:snapToGrid w:val="0"/>
                <w:sz w:val="24"/>
                <w:szCs w:val="24"/>
              </w:rPr>
              <w:t>2、废水</w:t>
            </w:r>
          </w:p>
          <w:p>
            <w:pPr>
              <w:pStyle w:val="105"/>
              <w:spacing w:line="360" w:lineRule="auto"/>
              <w:ind w:firstLine="480" w:firstLineChars="200"/>
              <w:jc w:val="both"/>
              <w:rPr>
                <w:rFonts w:ascii="Times New Roman"/>
                <w:color w:val="auto"/>
              </w:rPr>
            </w:pPr>
            <w:r>
              <w:rPr>
                <w:rFonts w:hint="eastAsia" w:ascii="Times New Roman"/>
                <w:color w:val="auto"/>
              </w:rPr>
              <w:t>本项目污水主要包括垃圾渗滤液、冲洗废水、员工生活污水。其中，冲洗废水分为车间冲洗废水和车辆冲洗废水。</w:t>
            </w:r>
          </w:p>
          <w:p>
            <w:pPr>
              <w:pStyle w:val="105"/>
              <w:spacing w:line="360" w:lineRule="auto"/>
              <w:ind w:firstLine="460"/>
              <w:jc w:val="both"/>
              <w:rPr>
                <w:rFonts w:ascii="Times New Roman"/>
                <w:color w:val="auto"/>
              </w:rPr>
            </w:pPr>
            <w:r>
              <w:rPr>
                <w:rFonts w:hint="eastAsia" w:ascii="Times New Roman"/>
                <w:color w:val="auto"/>
              </w:rPr>
              <w:t>（</w:t>
            </w:r>
            <w:r>
              <w:rPr>
                <w:rFonts w:ascii="Times New Roman" w:cs="Times New Roman"/>
                <w:color w:val="auto"/>
              </w:rPr>
              <w:t>1</w:t>
            </w:r>
            <w:r>
              <w:rPr>
                <w:rFonts w:hint="eastAsia" w:ascii="Times New Roman"/>
                <w:color w:val="auto"/>
              </w:rPr>
              <w:t>）垃圾渗滤液</w:t>
            </w:r>
          </w:p>
          <w:p>
            <w:pPr>
              <w:pStyle w:val="105"/>
              <w:spacing w:line="360" w:lineRule="auto"/>
              <w:ind w:firstLine="480" w:firstLineChars="200"/>
              <w:jc w:val="both"/>
              <w:rPr>
                <w:rFonts w:ascii="Times New Roman"/>
                <w:color w:val="auto"/>
              </w:rPr>
            </w:pPr>
            <w:r>
              <w:rPr>
                <w:rFonts w:hint="eastAsia" w:ascii="Times New Roman"/>
                <w:color w:val="auto"/>
              </w:rPr>
              <w:t>垃圾渗滤液受垃圾的成分、水分和贮存天数有关，冬季少、夏季多，由于承德地区属季风气候区，冬季气温较低，全年气候干燥，每年11月份至来年4月底基本不会产生渗滤液，主城区垃圾中转站每年5月份至10月份会产生垃圾渗滤液3m</w:t>
            </w:r>
            <w:r>
              <w:rPr>
                <w:rFonts w:hint="eastAsia" w:ascii="Times New Roman"/>
                <w:color w:val="auto"/>
                <w:vertAlign w:val="superscript"/>
              </w:rPr>
              <w:t>3</w:t>
            </w:r>
            <w:r>
              <w:rPr>
                <w:rFonts w:hint="eastAsia" w:ascii="Times New Roman"/>
                <w:color w:val="auto"/>
              </w:rPr>
              <w:t>/d，全年产生5</w:t>
            </w:r>
            <w:r>
              <w:rPr>
                <w:rFonts w:ascii="Times New Roman"/>
                <w:color w:val="auto"/>
              </w:rPr>
              <w:t>40</w:t>
            </w:r>
            <w:r>
              <w:rPr>
                <w:rFonts w:hint="eastAsia" w:ascii="Times New Roman"/>
                <w:color w:val="auto"/>
              </w:rPr>
              <w:t>m</w:t>
            </w:r>
            <w:r>
              <w:rPr>
                <w:rFonts w:hint="eastAsia" w:ascii="Times New Roman"/>
                <w:color w:val="auto"/>
                <w:vertAlign w:val="superscript"/>
              </w:rPr>
              <w:t>3</w:t>
            </w:r>
            <w:r>
              <w:rPr>
                <w:rFonts w:hint="eastAsia" w:ascii="Times New Roman"/>
                <w:color w:val="auto"/>
              </w:rPr>
              <w:t>；寿王坟镇转运站每年5月份至10月份会产生垃圾渗滤液0.5m</w:t>
            </w:r>
            <w:r>
              <w:rPr>
                <w:rFonts w:hint="eastAsia" w:ascii="Times New Roman"/>
                <w:color w:val="auto"/>
                <w:vertAlign w:val="superscript"/>
              </w:rPr>
              <w:t>3</w:t>
            </w:r>
            <w:r>
              <w:rPr>
                <w:rFonts w:hint="eastAsia" w:ascii="Times New Roman"/>
                <w:color w:val="auto"/>
              </w:rPr>
              <w:t>/d，全年产生</w:t>
            </w:r>
            <w:r>
              <w:rPr>
                <w:rFonts w:ascii="Times New Roman"/>
                <w:color w:val="auto"/>
              </w:rPr>
              <w:t>90</w:t>
            </w:r>
            <w:r>
              <w:rPr>
                <w:rFonts w:hint="eastAsia" w:ascii="Times New Roman"/>
                <w:color w:val="auto"/>
              </w:rPr>
              <w:t>m</w:t>
            </w:r>
            <w:r>
              <w:rPr>
                <w:rFonts w:hint="eastAsia" w:ascii="Times New Roman"/>
                <w:color w:val="auto"/>
                <w:vertAlign w:val="superscript"/>
              </w:rPr>
              <w:t>3</w:t>
            </w:r>
            <w:r>
              <w:rPr>
                <w:rFonts w:hint="eastAsia" w:ascii="Times New Roman"/>
                <w:color w:val="auto"/>
              </w:rPr>
              <w:t>。</w:t>
            </w:r>
          </w:p>
          <w:p>
            <w:pPr>
              <w:pStyle w:val="105"/>
              <w:spacing w:line="360" w:lineRule="auto"/>
              <w:ind w:firstLine="460"/>
              <w:jc w:val="both"/>
              <w:rPr>
                <w:rFonts w:ascii="Times New Roman"/>
                <w:color w:val="auto"/>
              </w:rPr>
            </w:pPr>
            <w:r>
              <w:rPr>
                <w:rFonts w:hint="eastAsia" w:ascii="Times New Roman"/>
                <w:color w:val="auto"/>
              </w:rPr>
              <w:t>（</w:t>
            </w:r>
            <w:r>
              <w:rPr>
                <w:rFonts w:ascii="Times New Roman" w:cs="Times New Roman"/>
                <w:color w:val="auto"/>
              </w:rPr>
              <w:t>2</w:t>
            </w:r>
            <w:r>
              <w:rPr>
                <w:rFonts w:hint="eastAsia" w:ascii="Times New Roman"/>
                <w:color w:val="auto"/>
              </w:rPr>
              <w:t>）车间冲洗废水</w:t>
            </w:r>
            <w:r>
              <w:rPr>
                <w:rFonts w:ascii="Times New Roman"/>
                <w:color w:val="auto"/>
              </w:rPr>
              <w:t xml:space="preserve"> </w:t>
            </w:r>
          </w:p>
          <w:p>
            <w:pPr>
              <w:pStyle w:val="105"/>
              <w:spacing w:line="360" w:lineRule="auto"/>
              <w:ind w:firstLine="480" w:firstLineChars="200"/>
              <w:jc w:val="both"/>
              <w:rPr>
                <w:rFonts w:ascii="Times New Roman"/>
                <w:color w:val="auto"/>
              </w:rPr>
            </w:pPr>
            <w:r>
              <w:rPr>
                <w:rFonts w:hint="eastAsia" w:ascii="Times New Roman"/>
                <w:color w:val="auto"/>
              </w:rPr>
              <w:t>根据《给水排水设计手册》及经验数据类比分析，垃圾中转站工作区地面冲洗水量按</w:t>
            </w:r>
            <w:r>
              <w:rPr>
                <w:rFonts w:ascii="Times New Roman" w:cs="Times New Roman"/>
                <w:color w:val="auto"/>
              </w:rPr>
              <w:t>1.5L/m</w:t>
            </w:r>
            <w:r>
              <w:rPr>
                <w:rFonts w:ascii="Times New Roman" w:cs="Times New Roman"/>
                <w:color w:val="auto"/>
                <w:vertAlign w:val="superscript"/>
              </w:rPr>
              <w:t>2</w:t>
            </w:r>
            <w:r>
              <w:rPr>
                <w:rFonts w:ascii="Times New Roman" w:cs="Times New Roman"/>
                <w:color w:val="auto"/>
              </w:rPr>
              <w:t>·</w:t>
            </w:r>
            <w:r>
              <w:rPr>
                <w:rFonts w:hint="eastAsia" w:ascii="Times New Roman"/>
                <w:color w:val="auto"/>
              </w:rPr>
              <w:t>次计，每天冲洗一次，主城区垃圾中转站工作区地面为</w:t>
            </w:r>
            <w:r>
              <w:rPr>
                <w:rFonts w:ascii="Times New Roman" w:cs="Times New Roman"/>
                <w:color w:val="auto"/>
              </w:rPr>
              <w:t>1150m</w:t>
            </w:r>
            <w:r>
              <w:rPr>
                <w:rFonts w:ascii="Times New Roman" w:cs="Times New Roman"/>
                <w:color w:val="auto"/>
                <w:vertAlign w:val="superscript"/>
              </w:rPr>
              <w:t>2</w:t>
            </w:r>
            <w:r>
              <w:rPr>
                <w:rFonts w:hint="eastAsia" w:ascii="Times New Roman"/>
                <w:color w:val="auto"/>
              </w:rPr>
              <w:t>，则工作区地面清洗用水量为</w:t>
            </w:r>
            <w:r>
              <w:rPr>
                <w:rFonts w:ascii="Times New Roman" w:cs="Times New Roman"/>
                <w:color w:val="auto"/>
              </w:rPr>
              <w:t>1.725m</w:t>
            </w:r>
            <w:r>
              <w:rPr>
                <w:rFonts w:ascii="Times New Roman" w:cs="Times New Roman"/>
                <w:color w:val="auto"/>
                <w:vertAlign w:val="superscript"/>
              </w:rPr>
              <w:t>3</w:t>
            </w:r>
            <w:r>
              <w:rPr>
                <w:rFonts w:ascii="Times New Roman" w:cs="Times New Roman"/>
                <w:color w:val="auto"/>
              </w:rPr>
              <w:t>/d</w:t>
            </w:r>
            <w:r>
              <w:rPr>
                <w:rFonts w:hint="eastAsia" w:ascii="Times New Roman"/>
                <w:color w:val="auto"/>
              </w:rPr>
              <w:t>，产污系数取</w:t>
            </w:r>
            <w:r>
              <w:rPr>
                <w:rFonts w:ascii="Times New Roman" w:cs="Times New Roman"/>
                <w:color w:val="auto"/>
              </w:rPr>
              <w:t>0.8</w:t>
            </w:r>
            <w:r>
              <w:rPr>
                <w:rFonts w:hint="eastAsia" w:ascii="Times New Roman"/>
                <w:color w:val="auto"/>
              </w:rPr>
              <w:t>，则地面清洗废水产生量为</w:t>
            </w:r>
            <w:r>
              <w:rPr>
                <w:rFonts w:ascii="Times New Roman" w:cs="Times New Roman"/>
                <w:color w:val="auto"/>
              </w:rPr>
              <w:t>1.38m</w:t>
            </w:r>
            <w:r>
              <w:rPr>
                <w:rFonts w:ascii="Times New Roman" w:cs="Times New Roman"/>
                <w:color w:val="auto"/>
                <w:vertAlign w:val="superscript"/>
              </w:rPr>
              <w:t>3</w:t>
            </w:r>
            <w:r>
              <w:rPr>
                <w:rFonts w:ascii="Times New Roman" w:cs="Times New Roman"/>
                <w:color w:val="auto"/>
              </w:rPr>
              <w:t>/d</w:t>
            </w:r>
            <w:r>
              <w:rPr>
                <w:rFonts w:hint="eastAsia" w:ascii="Times New Roman"/>
                <w:color w:val="auto"/>
              </w:rPr>
              <w:t>，</w:t>
            </w:r>
            <w:r>
              <w:rPr>
                <w:rFonts w:ascii="Times New Roman" w:cs="Times New Roman"/>
                <w:color w:val="auto"/>
              </w:rPr>
              <w:t>503.7m</w:t>
            </w:r>
            <w:r>
              <w:rPr>
                <w:rFonts w:ascii="Times New Roman" w:cs="Times New Roman"/>
                <w:color w:val="auto"/>
                <w:vertAlign w:val="superscript"/>
              </w:rPr>
              <w:t>3</w:t>
            </w:r>
            <w:r>
              <w:rPr>
                <w:rFonts w:ascii="Times New Roman" w:cs="Times New Roman"/>
                <w:color w:val="auto"/>
              </w:rPr>
              <w:t>/a</w:t>
            </w:r>
            <w:r>
              <w:rPr>
                <w:rFonts w:hint="eastAsia" w:ascii="Times New Roman" w:cs="Times New Roman"/>
                <w:color w:val="auto"/>
              </w:rPr>
              <w:t>；寿王坟镇</w:t>
            </w:r>
            <w:r>
              <w:rPr>
                <w:rFonts w:hint="eastAsia" w:ascii="Times New Roman"/>
                <w:color w:val="auto"/>
              </w:rPr>
              <w:t>垃圾中转站工作区地面为</w:t>
            </w:r>
            <w:r>
              <w:rPr>
                <w:rFonts w:ascii="Times New Roman" w:cs="Times New Roman"/>
                <w:color w:val="auto"/>
              </w:rPr>
              <w:t>110m</w:t>
            </w:r>
            <w:r>
              <w:rPr>
                <w:rFonts w:ascii="Times New Roman" w:cs="Times New Roman"/>
                <w:color w:val="auto"/>
                <w:vertAlign w:val="superscript"/>
              </w:rPr>
              <w:t>2</w:t>
            </w:r>
            <w:r>
              <w:rPr>
                <w:rFonts w:hint="eastAsia" w:ascii="Times New Roman"/>
                <w:color w:val="auto"/>
              </w:rPr>
              <w:t>，则工作区地面清洗用水量为</w:t>
            </w:r>
            <w:r>
              <w:rPr>
                <w:rFonts w:ascii="Times New Roman" w:cs="Times New Roman"/>
                <w:color w:val="auto"/>
              </w:rPr>
              <w:t>0.162m</w:t>
            </w:r>
            <w:r>
              <w:rPr>
                <w:rFonts w:ascii="Times New Roman" w:cs="Times New Roman"/>
                <w:color w:val="auto"/>
                <w:vertAlign w:val="superscript"/>
              </w:rPr>
              <w:t>3</w:t>
            </w:r>
            <w:r>
              <w:rPr>
                <w:rFonts w:ascii="Times New Roman" w:cs="Times New Roman"/>
                <w:color w:val="auto"/>
              </w:rPr>
              <w:t>/d</w:t>
            </w:r>
            <w:r>
              <w:rPr>
                <w:rFonts w:hint="eastAsia" w:ascii="Times New Roman"/>
                <w:color w:val="auto"/>
              </w:rPr>
              <w:t>，产污系数取</w:t>
            </w:r>
            <w:r>
              <w:rPr>
                <w:rFonts w:ascii="Times New Roman" w:cs="Times New Roman"/>
                <w:color w:val="auto"/>
              </w:rPr>
              <w:t>0.8</w:t>
            </w:r>
            <w:r>
              <w:rPr>
                <w:rFonts w:hint="eastAsia" w:ascii="Times New Roman"/>
                <w:color w:val="auto"/>
              </w:rPr>
              <w:t>，则地面清洗废水产生量为</w:t>
            </w:r>
            <w:r>
              <w:rPr>
                <w:rFonts w:ascii="Times New Roman" w:cs="Times New Roman"/>
                <w:color w:val="auto"/>
              </w:rPr>
              <w:t>0.1296m</w:t>
            </w:r>
            <w:r>
              <w:rPr>
                <w:rFonts w:ascii="Times New Roman" w:cs="Times New Roman"/>
                <w:color w:val="auto"/>
                <w:vertAlign w:val="superscript"/>
              </w:rPr>
              <w:t>3</w:t>
            </w:r>
            <w:r>
              <w:rPr>
                <w:rFonts w:ascii="Times New Roman" w:cs="Times New Roman"/>
                <w:color w:val="auto"/>
              </w:rPr>
              <w:t>/d</w:t>
            </w:r>
            <w:r>
              <w:rPr>
                <w:rFonts w:hint="eastAsia" w:ascii="Times New Roman"/>
                <w:color w:val="auto"/>
              </w:rPr>
              <w:t>，</w:t>
            </w:r>
            <w:r>
              <w:rPr>
                <w:rFonts w:ascii="Times New Roman" w:cs="Times New Roman"/>
                <w:color w:val="auto"/>
              </w:rPr>
              <w:t>47.304m</w:t>
            </w:r>
            <w:r>
              <w:rPr>
                <w:rFonts w:ascii="Times New Roman" w:cs="Times New Roman"/>
                <w:color w:val="auto"/>
                <w:vertAlign w:val="superscript"/>
              </w:rPr>
              <w:t>3</w:t>
            </w:r>
            <w:r>
              <w:rPr>
                <w:rFonts w:ascii="Times New Roman" w:cs="Times New Roman"/>
                <w:color w:val="auto"/>
              </w:rPr>
              <w:t>/a</w:t>
            </w:r>
            <w:r>
              <w:rPr>
                <w:rFonts w:hint="eastAsia" w:ascii="Times New Roman"/>
                <w:color w:val="auto"/>
              </w:rPr>
              <w:t>。项目内的冲洗废水中污染物浓度低于垃圾压滤液，水质类似于生活污水，但有机物略高于生活污水。</w:t>
            </w:r>
          </w:p>
          <w:p>
            <w:pPr>
              <w:pStyle w:val="105"/>
              <w:spacing w:line="360" w:lineRule="auto"/>
              <w:ind w:firstLine="480"/>
              <w:jc w:val="both"/>
              <w:rPr>
                <w:rFonts w:ascii="Times New Roman"/>
                <w:color w:val="auto"/>
              </w:rPr>
            </w:pPr>
            <w:r>
              <w:rPr>
                <w:rFonts w:ascii="Times New Roman" w:cs="Times New Roman"/>
                <w:color w:val="auto"/>
              </w:rPr>
              <w:t>（3）</w:t>
            </w:r>
            <w:r>
              <w:rPr>
                <w:rFonts w:hint="eastAsia" w:ascii="Times New Roman"/>
                <w:color w:val="auto"/>
              </w:rPr>
              <w:t>车辆冲洗废水</w:t>
            </w:r>
          </w:p>
          <w:p>
            <w:pPr>
              <w:pStyle w:val="105"/>
              <w:spacing w:line="360" w:lineRule="auto"/>
              <w:ind w:firstLine="480" w:firstLineChars="200"/>
              <w:jc w:val="both"/>
              <w:rPr>
                <w:rFonts w:ascii="Times New Roman"/>
                <w:color w:val="auto"/>
              </w:rPr>
            </w:pPr>
            <w:r>
              <w:rPr>
                <w:rFonts w:ascii="Times New Roman" w:cs="Times New Roman"/>
                <w:color w:val="auto"/>
              </w:rPr>
              <w:t>本项目</w:t>
            </w:r>
            <w:r>
              <w:rPr>
                <w:rFonts w:hint="eastAsia" w:ascii="Times New Roman" w:cs="Times New Roman"/>
                <w:color w:val="auto"/>
              </w:rPr>
              <w:t>主城区</w:t>
            </w:r>
            <w:r>
              <w:rPr>
                <w:rFonts w:ascii="Times New Roman" w:cs="Times New Roman"/>
                <w:color w:val="auto"/>
              </w:rPr>
              <w:t>垃圾转运站配备垃圾运输车3辆，垃圾渗滤液运输车1辆；</w:t>
            </w:r>
            <w:r>
              <w:rPr>
                <w:rFonts w:hint="eastAsia" w:ascii="Times New Roman" w:cs="Times New Roman"/>
                <w:color w:val="auto"/>
              </w:rPr>
              <w:t>寿王坟镇</w:t>
            </w:r>
            <w:r>
              <w:rPr>
                <w:rFonts w:ascii="Times New Roman" w:cs="Times New Roman"/>
                <w:color w:val="auto"/>
              </w:rPr>
              <w:t>垃圾转运站配备垃圾运输车2辆，垃圾渗滤液运输车1辆，其所有车辆均在</w:t>
            </w:r>
            <w:r>
              <w:rPr>
                <w:rFonts w:hint="eastAsia" w:ascii="Times New Roman" w:cs="Times New Roman"/>
                <w:color w:val="auto"/>
              </w:rPr>
              <w:t>主城区垃圾</w:t>
            </w:r>
            <w:r>
              <w:rPr>
                <w:rFonts w:ascii="Times New Roman" w:cs="Times New Roman"/>
                <w:color w:val="auto"/>
              </w:rPr>
              <w:t>转运站进行清洗。车辆清洗用水为120L/辆·次，车辆冲洗用水量为0.84m</w:t>
            </w:r>
            <w:r>
              <w:rPr>
                <w:rFonts w:ascii="Times New Roman" w:cs="Times New Roman"/>
                <w:color w:val="auto"/>
                <w:vertAlign w:val="superscript"/>
              </w:rPr>
              <w:t>3</w:t>
            </w:r>
            <w:r>
              <w:rPr>
                <w:rFonts w:ascii="Times New Roman" w:cs="Times New Roman"/>
                <w:color w:val="auto"/>
              </w:rPr>
              <w:t>/</w:t>
            </w:r>
            <w:r>
              <w:rPr>
                <w:rFonts w:hint="eastAsia" w:ascii="Times New Roman" w:cs="Times New Roman"/>
                <w:color w:val="auto"/>
              </w:rPr>
              <w:t>d</w:t>
            </w:r>
            <w:r>
              <w:rPr>
                <w:rFonts w:ascii="Times New Roman" w:cs="Times New Roman"/>
                <w:color w:val="auto"/>
              </w:rPr>
              <w:t>，排水量为0.672m</w:t>
            </w:r>
            <w:r>
              <w:rPr>
                <w:rFonts w:ascii="Times New Roman" w:cs="Times New Roman"/>
                <w:color w:val="auto"/>
                <w:vertAlign w:val="superscript"/>
              </w:rPr>
              <w:t>3</w:t>
            </w:r>
            <w:r>
              <w:rPr>
                <w:rFonts w:ascii="Times New Roman" w:cs="Times New Roman"/>
                <w:color w:val="auto"/>
              </w:rPr>
              <w:t>/</w:t>
            </w:r>
            <w:r>
              <w:rPr>
                <w:rFonts w:hint="eastAsia" w:ascii="Times New Roman" w:cs="Times New Roman"/>
                <w:color w:val="auto"/>
              </w:rPr>
              <w:t>d</w:t>
            </w:r>
            <w:r>
              <w:rPr>
                <w:rFonts w:hint="eastAsia" w:ascii="Times New Roman"/>
                <w:color w:val="auto"/>
              </w:rPr>
              <w:t>。</w:t>
            </w:r>
          </w:p>
          <w:p>
            <w:pPr>
              <w:pStyle w:val="105"/>
              <w:spacing w:line="360" w:lineRule="auto"/>
              <w:ind w:firstLine="460"/>
              <w:jc w:val="both"/>
              <w:rPr>
                <w:rFonts w:ascii="Times New Roman"/>
                <w:color w:val="auto"/>
              </w:rPr>
            </w:pPr>
            <w:r>
              <w:rPr>
                <w:rFonts w:hint="eastAsia" w:ascii="Times New Roman"/>
                <w:color w:val="auto"/>
              </w:rPr>
              <w:t>（</w:t>
            </w:r>
            <w:r>
              <w:rPr>
                <w:rFonts w:ascii="Times New Roman" w:cs="Times New Roman"/>
                <w:color w:val="auto"/>
              </w:rPr>
              <w:t>4</w:t>
            </w:r>
            <w:r>
              <w:rPr>
                <w:rFonts w:hint="eastAsia" w:ascii="Times New Roman"/>
                <w:color w:val="auto"/>
              </w:rPr>
              <w:t>）生活污水</w:t>
            </w:r>
          </w:p>
          <w:p>
            <w:pPr>
              <w:pStyle w:val="105"/>
              <w:spacing w:line="360" w:lineRule="auto"/>
              <w:ind w:firstLine="480" w:firstLineChars="200"/>
              <w:jc w:val="both"/>
              <w:rPr>
                <w:rFonts w:ascii="Times New Roman"/>
                <w:color w:val="auto"/>
              </w:rPr>
            </w:pPr>
            <w:r>
              <w:rPr>
                <w:rFonts w:hint="eastAsia" w:ascii="Times New Roman"/>
                <w:color w:val="auto"/>
              </w:rPr>
              <w:t>项目定员</w:t>
            </w:r>
            <w:r>
              <w:rPr>
                <w:rFonts w:ascii="Times New Roman" w:cs="Times New Roman"/>
                <w:color w:val="auto"/>
              </w:rPr>
              <w:t>16</w:t>
            </w:r>
            <w:r>
              <w:rPr>
                <w:rFonts w:hint="eastAsia" w:ascii="Times New Roman"/>
                <w:color w:val="auto"/>
              </w:rPr>
              <w:t>人，年工作</w:t>
            </w:r>
            <w:r>
              <w:rPr>
                <w:rFonts w:ascii="Times New Roman" w:cs="Times New Roman"/>
                <w:color w:val="auto"/>
              </w:rPr>
              <w:t>365</w:t>
            </w:r>
            <w:r>
              <w:rPr>
                <w:rFonts w:hint="eastAsia" w:ascii="Times New Roman"/>
                <w:color w:val="auto"/>
              </w:rPr>
              <w:t>天，设有餐厅，根据《河北省用水定额》（</w:t>
            </w:r>
            <w:r>
              <w:rPr>
                <w:rFonts w:ascii="Times New Roman" w:cs="Times New Roman"/>
                <w:color w:val="auto"/>
              </w:rPr>
              <w:t>DB13/T1161.3-2016</w:t>
            </w:r>
            <w:r>
              <w:rPr>
                <w:rFonts w:hint="eastAsia" w:ascii="Times New Roman"/>
                <w:color w:val="auto"/>
              </w:rPr>
              <w:t>），该项目的员工生活用水量</w:t>
            </w:r>
            <w:r>
              <w:rPr>
                <w:rFonts w:ascii="Times New Roman" w:cs="Times New Roman"/>
                <w:color w:val="auto"/>
              </w:rPr>
              <w:t>40</w:t>
            </w:r>
            <w:r>
              <w:rPr>
                <w:rFonts w:hint="eastAsia" w:ascii="Times New Roman" w:cs="Times New Roman"/>
                <w:color w:val="auto"/>
              </w:rPr>
              <w:t>L</w:t>
            </w:r>
            <w:r>
              <w:rPr>
                <w:rFonts w:ascii="Times New Roman" w:cs="Times New Roman"/>
                <w:color w:val="auto"/>
              </w:rPr>
              <w:t>/</w:t>
            </w:r>
            <w:r>
              <w:rPr>
                <w:rFonts w:hint="eastAsia" w:ascii="Times New Roman"/>
                <w:color w:val="auto"/>
              </w:rPr>
              <w:t>人</w:t>
            </w:r>
            <w:r>
              <w:rPr>
                <w:rFonts w:ascii="Times New Roman" w:cs="Times New Roman"/>
                <w:color w:val="auto"/>
              </w:rPr>
              <w:t>·</w:t>
            </w:r>
            <w:r>
              <w:rPr>
                <w:rFonts w:hint="eastAsia" w:ascii="Times New Roman" w:cs="Times New Roman"/>
                <w:color w:val="auto"/>
              </w:rPr>
              <w:t>d</w:t>
            </w:r>
            <w:r>
              <w:rPr>
                <w:rFonts w:hint="eastAsia" w:ascii="Times New Roman"/>
                <w:color w:val="auto"/>
              </w:rPr>
              <w:t>计算，生活用水量为</w:t>
            </w:r>
            <w:r>
              <w:rPr>
                <w:rFonts w:ascii="Times New Roman" w:cs="Times New Roman"/>
                <w:color w:val="auto"/>
              </w:rPr>
              <w:t>0.64m</w:t>
            </w:r>
            <w:r>
              <w:rPr>
                <w:rFonts w:ascii="Times New Roman" w:cs="Times New Roman"/>
                <w:color w:val="auto"/>
                <w:vertAlign w:val="superscript"/>
              </w:rPr>
              <w:t>3</w:t>
            </w:r>
            <w:r>
              <w:rPr>
                <w:rFonts w:ascii="Times New Roman" w:cs="Times New Roman"/>
                <w:color w:val="auto"/>
              </w:rPr>
              <w:t>/</w:t>
            </w:r>
            <w:r>
              <w:rPr>
                <w:rFonts w:hint="eastAsia" w:ascii="Times New Roman" w:cs="Times New Roman"/>
                <w:color w:val="auto"/>
              </w:rPr>
              <w:t>d</w:t>
            </w:r>
            <w:r>
              <w:rPr>
                <w:rFonts w:hint="eastAsia" w:ascii="Times New Roman"/>
                <w:color w:val="auto"/>
              </w:rPr>
              <w:t>，合计</w:t>
            </w:r>
            <w:r>
              <w:rPr>
                <w:rFonts w:ascii="Times New Roman" w:cs="Times New Roman"/>
                <w:color w:val="auto"/>
              </w:rPr>
              <w:t>233.6m</w:t>
            </w:r>
            <w:r>
              <w:rPr>
                <w:rFonts w:ascii="Times New Roman" w:cs="Times New Roman"/>
                <w:color w:val="auto"/>
                <w:vertAlign w:val="superscript"/>
              </w:rPr>
              <w:t>3</w:t>
            </w:r>
            <w:r>
              <w:rPr>
                <w:rFonts w:ascii="Times New Roman" w:cs="Times New Roman"/>
                <w:color w:val="auto"/>
              </w:rPr>
              <w:t>/a</w:t>
            </w:r>
            <w:r>
              <w:rPr>
                <w:rFonts w:hint="eastAsia" w:ascii="Times New Roman"/>
                <w:color w:val="auto"/>
              </w:rPr>
              <w:t>；生活污水按用水量</w:t>
            </w:r>
            <w:r>
              <w:rPr>
                <w:rFonts w:ascii="Times New Roman" w:cs="Times New Roman"/>
                <w:color w:val="auto"/>
              </w:rPr>
              <w:t>80%</w:t>
            </w:r>
            <w:r>
              <w:rPr>
                <w:rFonts w:hint="eastAsia" w:ascii="Times New Roman"/>
                <w:color w:val="auto"/>
              </w:rPr>
              <w:t>计。</w:t>
            </w:r>
          </w:p>
          <w:p>
            <w:pPr>
              <w:pStyle w:val="105"/>
              <w:spacing w:line="360" w:lineRule="auto"/>
              <w:ind w:firstLine="480" w:firstLineChars="200"/>
              <w:jc w:val="both"/>
              <w:rPr>
                <w:rFonts w:ascii="Times New Roman"/>
                <w:color w:val="auto"/>
              </w:rPr>
            </w:pPr>
            <w:r>
              <w:rPr>
                <w:rFonts w:hint="eastAsia" w:ascii="Times New Roman"/>
                <w:color w:val="auto"/>
              </w:rPr>
              <w:t>本项目所有废水都经厂内防渗收集池收集后，由具有危运资质的单位采用罐车运送到垃圾处理场垃圾渗滤液处理站进行处理，罐车驾驶员要求持有危货运输从业资格证。项目废水主要污染物为COD</w:t>
            </w:r>
            <w:r>
              <w:rPr>
                <w:rFonts w:hint="eastAsia" w:ascii="Times New Roman"/>
                <w:color w:val="auto"/>
                <w:vertAlign w:val="subscript"/>
              </w:rPr>
              <w:t>cr</w:t>
            </w:r>
            <w:r>
              <w:rPr>
                <w:rFonts w:hint="eastAsia" w:ascii="Times New Roman"/>
                <w:color w:val="auto"/>
              </w:rPr>
              <w:t>（</w:t>
            </w:r>
            <w:r>
              <w:rPr>
                <w:rFonts w:ascii="Times New Roman"/>
                <w:color w:val="auto"/>
              </w:rPr>
              <w:t>7000</w:t>
            </w:r>
            <w:r>
              <w:rPr>
                <w:rFonts w:hint="eastAsia" w:ascii="Times New Roman"/>
                <w:color w:val="auto"/>
              </w:rPr>
              <w:t>mg</w:t>
            </w:r>
            <w:r>
              <w:rPr>
                <w:rFonts w:ascii="Times New Roman"/>
                <w:color w:val="auto"/>
              </w:rPr>
              <w:t>/</w:t>
            </w:r>
            <w:r>
              <w:rPr>
                <w:rFonts w:hint="eastAsia" w:ascii="Times New Roman"/>
                <w:color w:val="auto"/>
              </w:rPr>
              <w:t>L）、BOD</w:t>
            </w:r>
            <w:r>
              <w:rPr>
                <w:rFonts w:ascii="Times New Roman"/>
                <w:color w:val="auto"/>
                <w:vertAlign w:val="subscript"/>
              </w:rPr>
              <w:t>5</w:t>
            </w:r>
            <w:r>
              <w:rPr>
                <w:rFonts w:hint="eastAsia" w:ascii="Times New Roman"/>
                <w:color w:val="auto"/>
              </w:rPr>
              <w:t>（</w:t>
            </w:r>
            <w:r>
              <w:rPr>
                <w:rFonts w:ascii="Times New Roman"/>
                <w:color w:val="auto"/>
              </w:rPr>
              <w:t>3500</w:t>
            </w:r>
            <w:r>
              <w:rPr>
                <w:rFonts w:hint="eastAsia" w:ascii="Times New Roman"/>
                <w:color w:val="auto"/>
              </w:rPr>
              <w:t>mg</w:t>
            </w:r>
            <w:r>
              <w:rPr>
                <w:rFonts w:ascii="Times New Roman"/>
                <w:color w:val="auto"/>
              </w:rPr>
              <w:t>/</w:t>
            </w:r>
            <w:r>
              <w:rPr>
                <w:rFonts w:hint="eastAsia" w:ascii="Times New Roman"/>
                <w:color w:val="auto"/>
              </w:rPr>
              <w:t>L）、SS（</w:t>
            </w:r>
            <w:r>
              <w:rPr>
                <w:rFonts w:ascii="Times New Roman"/>
                <w:color w:val="auto"/>
              </w:rPr>
              <w:t>600</w:t>
            </w:r>
            <w:r>
              <w:rPr>
                <w:rFonts w:hint="eastAsia" w:ascii="Times New Roman"/>
                <w:color w:val="auto"/>
              </w:rPr>
              <w:t>mg</w:t>
            </w:r>
            <w:r>
              <w:rPr>
                <w:rFonts w:ascii="Times New Roman"/>
                <w:color w:val="auto"/>
              </w:rPr>
              <w:t>/</w:t>
            </w:r>
            <w:r>
              <w:rPr>
                <w:rFonts w:hint="eastAsia" w:ascii="Times New Roman"/>
                <w:color w:val="auto"/>
              </w:rPr>
              <w:t>L）、NH</w:t>
            </w:r>
            <w:r>
              <w:rPr>
                <w:rFonts w:ascii="Times New Roman"/>
                <w:color w:val="auto"/>
                <w:vertAlign w:val="subscript"/>
              </w:rPr>
              <w:t>3</w:t>
            </w:r>
            <w:r>
              <w:rPr>
                <w:rFonts w:ascii="Times New Roman"/>
                <w:color w:val="auto"/>
              </w:rPr>
              <w:t>-</w:t>
            </w:r>
            <w:r>
              <w:rPr>
                <w:rFonts w:hint="eastAsia" w:ascii="Times New Roman"/>
                <w:color w:val="auto"/>
              </w:rPr>
              <w:t>N（</w:t>
            </w:r>
            <w:r>
              <w:rPr>
                <w:rFonts w:ascii="Times New Roman"/>
                <w:color w:val="auto"/>
              </w:rPr>
              <w:t>200</w:t>
            </w:r>
            <w:r>
              <w:rPr>
                <w:rFonts w:hint="eastAsia" w:ascii="Times New Roman"/>
                <w:color w:val="auto"/>
              </w:rPr>
              <w:t>mg</w:t>
            </w:r>
            <w:r>
              <w:rPr>
                <w:rFonts w:ascii="Times New Roman"/>
                <w:color w:val="auto"/>
              </w:rPr>
              <w:t>/</w:t>
            </w:r>
            <w:r>
              <w:rPr>
                <w:rFonts w:hint="eastAsia" w:ascii="Times New Roman"/>
                <w:color w:val="auto"/>
              </w:rPr>
              <w:t>L）。</w:t>
            </w:r>
          </w:p>
          <w:p>
            <w:pPr>
              <w:spacing w:line="360" w:lineRule="auto"/>
              <w:jc w:val="center"/>
              <w:rPr>
                <w:sz w:val="24"/>
                <w:szCs w:val="24"/>
              </w:rPr>
            </w:pPr>
            <w:r>
              <w:rPr>
                <w:rFonts w:hint="eastAsia"/>
                <w:sz w:val="24"/>
                <w:szCs w:val="24"/>
              </w:rPr>
              <w:t>表2</w:t>
            </w:r>
            <w:r>
              <w:rPr>
                <w:sz w:val="24"/>
                <w:szCs w:val="24"/>
              </w:rPr>
              <w:t xml:space="preserve">4 </w:t>
            </w:r>
            <w:r>
              <w:rPr>
                <w:rFonts w:hint="eastAsia"/>
                <w:sz w:val="24"/>
                <w:szCs w:val="24"/>
              </w:rPr>
              <w:t>垃圾转运站污水产生情况</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8"/>
              <w:gridCol w:w="1716"/>
              <w:gridCol w:w="1383"/>
              <w:gridCol w:w="1383"/>
              <w:gridCol w:w="1383"/>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 w:type="dxa"/>
                  <w:vAlign w:val="center"/>
                </w:tcPr>
                <w:p>
                  <w:pPr>
                    <w:spacing w:line="240" w:lineRule="exact"/>
                    <w:jc w:val="center"/>
                    <w:rPr>
                      <w:szCs w:val="21"/>
                    </w:rPr>
                  </w:pPr>
                  <w:r>
                    <w:rPr>
                      <w:rFonts w:hint="eastAsia" w:cs="宋体"/>
                      <w:szCs w:val="21"/>
                    </w:rPr>
                    <w:t>转运站规模</w:t>
                  </w:r>
                </w:p>
              </w:tc>
              <w:tc>
                <w:tcPr>
                  <w:tcW w:w="1716" w:type="dxa"/>
                  <w:vAlign w:val="center"/>
                </w:tcPr>
                <w:p>
                  <w:pPr>
                    <w:spacing w:line="240" w:lineRule="exact"/>
                    <w:jc w:val="center"/>
                    <w:rPr>
                      <w:szCs w:val="21"/>
                    </w:rPr>
                  </w:pPr>
                  <w:r>
                    <w:rPr>
                      <w:rFonts w:hint="eastAsia"/>
                      <w:szCs w:val="21"/>
                    </w:rPr>
                    <w:t>污染源</w:t>
                  </w:r>
                </w:p>
              </w:tc>
              <w:tc>
                <w:tcPr>
                  <w:tcW w:w="1383" w:type="dxa"/>
                  <w:vAlign w:val="center"/>
                </w:tcPr>
                <w:p>
                  <w:pPr>
                    <w:spacing w:line="240" w:lineRule="exact"/>
                    <w:jc w:val="center"/>
                    <w:rPr>
                      <w:szCs w:val="21"/>
                    </w:rPr>
                  </w:pPr>
                  <w:r>
                    <w:rPr>
                      <w:rFonts w:hint="eastAsia"/>
                      <w:szCs w:val="21"/>
                    </w:rPr>
                    <w:t>污染物</w:t>
                  </w:r>
                </w:p>
              </w:tc>
              <w:tc>
                <w:tcPr>
                  <w:tcW w:w="1383" w:type="dxa"/>
                  <w:vAlign w:val="center"/>
                </w:tcPr>
                <w:p>
                  <w:pPr>
                    <w:spacing w:line="240" w:lineRule="exact"/>
                    <w:jc w:val="center"/>
                    <w:rPr>
                      <w:szCs w:val="21"/>
                    </w:rPr>
                  </w:pPr>
                  <w:r>
                    <w:rPr>
                      <w:rFonts w:hint="eastAsia"/>
                      <w:szCs w:val="21"/>
                    </w:rPr>
                    <w:t>用水量</w:t>
                  </w:r>
                </w:p>
              </w:tc>
              <w:tc>
                <w:tcPr>
                  <w:tcW w:w="1383" w:type="dxa"/>
                  <w:vAlign w:val="center"/>
                </w:tcPr>
                <w:p>
                  <w:pPr>
                    <w:spacing w:line="240" w:lineRule="exact"/>
                    <w:jc w:val="center"/>
                    <w:rPr>
                      <w:szCs w:val="21"/>
                    </w:rPr>
                  </w:pPr>
                  <w:r>
                    <w:rPr>
                      <w:rFonts w:hint="eastAsia"/>
                      <w:szCs w:val="21"/>
                    </w:rPr>
                    <w:t>污水产生量</w:t>
                  </w:r>
                </w:p>
              </w:tc>
              <w:tc>
                <w:tcPr>
                  <w:tcW w:w="1383" w:type="dxa"/>
                  <w:vAlign w:val="center"/>
                </w:tcPr>
                <w:p>
                  <w:pPr>
                    <w:spacing w:line="240" w:lineRule="exact"/>
                    <w:jc w:val="center"/>
                    <w:rPr>
                      <w:szCs w:val="21"/>
                    </w:rPr>
                  </w:pPr>
                  <w:r>
                    <w:rPr>
                      <w:rFonts w:hint="eastAsia"/>
                      <w:szCs w:val="21"/>
                    </w:rPr>
                    <w:t>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 w:type="dxa"/>
                  <w:vMerge w:val="restart"/>
                  <w:vAlign w:val="center"/>
                </w:tcPr>
                <w:p>
                  <w:pPr>
                    <w:spacing w:line="240" w:lineRule="exact"/>
                    <w:jc w:val="center"/>
                    <w:rPr>
                      <w:szCs w:val="21"/>
                    </w:rPr>
                  </w:pPr>
                  <w:r>
                    <w:rPr>
                      <w:rFonts w:hint="eastAsia"/>
                      <w:szCs w:val="21"/>
                    </w:rPr>
                    <w:t>1</w:t>
                  </w:r>
                  <w:r>
                    <w:rPr>
                      <w:szCs w:val="21"/>
                    </w:rPr>
                    <w:t>20</w:t>
                  </w:r>
                  <w:r>
                    <w:rPr>
                      <w:rFonts w:hint="eastAsia"/>
                      <w:szCs w:val="21"/>
                    </w:rPr>
                    <w:t>t/d</w:t>
                  </w:r>
                </w:p>
              </w:tc>
              <w:tc>
                <w:tcPr>
                  <w:tcW w:w="1716" w:type="dxa"/>
                  <w:vAlign w:val="center"/>
                </w:tcPr>
                <w:p>
                  <w:pPr>
                    <w:spacing w:line="240" w:lineRule="exact"/>
                    <w:jc w:val="center"/>
                    <w:rPr>
                      <w:szCs w:val="21"/>
                    </w:rPr>
                  </w:pPr>
                  <w:r>
                    <w:rPr>
                      <w:rFonts w:hint="eastAsia"/>
                      <w:szCs w:val="21"/>
                    </w:rPr>
                    <w:t>垃圾渗滤液</w:t>
                  </w:r>
                </w:p>
              </w:tc>
              <w:tc>
                <w:tcPr>
                  <w:tcW w:w="1383" w:type="dxa"/>
                  <w:vMerge w:val="restart"/>
                  <w:vAlign w:val="center"/>
                </w:tcPr>
                <w:p>
                  <w:pPr>
                    <w:spacing w:line="240" w:lineRule="exact"/>
                    <w:jc w:val="center"/>
                    <w:rPr>
                      <w:szCs w:val="21"/>
                    </w:rPr>
                  </w:pPr>
                  <w:r>
                    <w:rPr>
                      <w:rFonts w:hint="eastAsia"/>
                      <w:szCs w:val="21"/>
                    </w:rPr>
                    <w:t>COD</w:t>
                  </w:r>
                  <w:r>
                    <w:rPr>
                      <w:rFonts w:hint="eastAsia"/>
                      <w:szCs w:val="21"/>
                      <w:vertAlign w:val="subscript"/>
                    </w:rPr>
                    <w:t>cr</w:t>
                  </w:r>
                </w:p>
                <w:p>
                  <w:pPr>
                    <w:spacing w:line="240" w:lineRule="exact"/>
                    <w:jc w:val="center"/>
                    <w:rPr>
                      <w:szCs w:val="21"/>
                    </w:rPr>
                  </w:pPr>
                  <w:r>
                    <w:rPr>
                      <w:rFonts w:hint="eastAsia"/>
                      <w:szCs w:val="21"/>
                    </w:rPr>
                    <w:t>BOD</w:t>
                  </w:r>
                  <w:r>
                    <w:rPr>
                      <w:rFonts w:hint="eastAsia"/>
                      <w:szCs w:val="21"/>
                      <w:vertAlign w:val="subscript"/>
                    </w:rPr>
                    <w:t>5</w:t>
                  </w:r>
                </w:p>
                <w:p>
                  <w:pPr>
                    <w:spacing w:line="240" w:lineRule="exact"/>
                    <w:jc w:val="center"/>
                    <w:rPr>
                      <w:szCs w:val="21"/>
                    </w:rPr>
                  </w:pPr>
                  <w:r>
                    <w:rPr>
                      <w:rFonts w:hint="eastAsia"/>
                      <w:szCs w:val="21"/>
                    </w:rPr>
                    <w:t>SS</w:t>
                  </w:r>
                </w:p>
                <w:p>
                  <w:pPr>
                    <w:spacing w:line="240" w:lineRule="exact"/>
                    <w:jc w:val="center"/>
                    <w:rPr>
                      <w:szCs w:val="21"/>
                    </w:rPr>
                  </w:pPr>
                  <w:r>
                    <w:rPr>
                      <w:rFonts w:hint="eastAsia"/>
                      <w:szCs w:val="21"/>
                    </w:rPr>
                    <w:t>NH</w:t>
                  </w:r>
                  <w:r>
                    <w:rPr>
                      <w:rFonts w:hint="eastAsia"/>
                      <w:szCs w:val="21"/>
                      <w:vertAlign w:val="subscript"/>
                    </w:rPr>
                    <w:t>3</w:t>
                  </w:r>
                  <w:r>
                    <w:rPr>
                      <w:szCs w:val="21"/>
                    </w:rPr>
                    <w:t>-</w:t>
                  </w:r>
                  <w:r>
                    <w:rPr>
                      <w:rFonts w:hint="eastAsia"/>
                      <w:szCs w:val="21"/>
                    </w:rPr>
                    <w:t>N</w:t>
                  </w:r>
                </w:p>
              </w:tc>
              <w:tc>
                <w:tcPr>
                  <w:tcW w:w="1383" w:type="dxa"/>
                  <w:vAlign w:val="center"/>
                </w:tcPr>
                <w:p>
                  <w:pPr>
                    <w:spacing w:line="240" w:lineRule="exact"/>
                    <w:jc w:val="center"/>
                    <w:rPr>
                      <w:szCs w:val="21"/>
                    </w:rPr>
                  </w:pPr>
                  <w:r>
                    <w:rPr>
                      <w:rFonts w:hint="eastAsia"/>
                      <w:szCs w:val="21"/>
                    </w:rPr>
                    <w:t>-</w:t>
                  </w:r>
                </w:p>
              </w:tc>
              <w:tc>
                <w:tcPr>
                  <w:tcW w:w="1383" w:type="dxa"/>
                  <w:vAlign w:val="center"/>
                </w:tcPr>
                <w:p>
                  <w:pPr>
                    <w:spacing w:line="240" w:lineRule="exact"/>
                    <w:jc w:val="center"/>
                    <w:rPr>
                      <w:szCs w:val="21"/>
                    </w:rPr>
                  </w:pPr>
                  <w:r>
                    <w:rPr>
                      <w:rFonts w:hint="eastAsia"/>
                      <w:szCs w:val="21"/>
                    </w:rPr>
                    <w:t>5</w:t>
                  </w:r>
                  <w:r>
                    <w:rPr>
                      <w:szCs w:val="21"/>
                    </w:rPr>
                    <w:t>40</w:t>
                  </w:r>
                  <w:r>
                    <w:rPr>
                      <w:rFonts w:hint="eastAsia"/>
                      <w:szCs w:val="21"/>
                    </w:rPr>
                    <w:t>m</w:t>
                  </w:r>
                  <w:r>
                    <w:rPr>
                      <w:rFonts w:hint="eastAsia"/>
                      <w:szCs w:val="21"/>
                      <w:vertAlign w:val="superscript"/>
                    </w:rPr>
                    <w:t>3</w:t>
                  </w:r>
                  <w:r>
                    <w:rPr>
                      <w:szCs w:val="21"/>
                    </w:rPr>
                    <w:t>/</w:t>
                  </w:r>
                  <w:r>
                    <w:rPr>
                      <w:rFonts w:hint="eastAsia"/>
                      <w:szCs w:val="21"/>
                    </w:rPr>
                    <w:t>a</w:t>
                  </w:r>
                </w:p>
              </w:tc>
              <w:tc>
                <w:tcPr>
                  <w:tcW w:w="1383" w:type="dxa"/>
                  <w:vMerge w:val="restart"/>
                  <w:vAlign w:val="center"/>
                </w:tcPr>
                <w:p>
                  <w:pPr>
                    <w:spacing w:line="240" w:lineRule="exact"/>
                    <w:jc w:val="center"/>
                    <w:rPr>
                      <w:szCs w:val="21"/>
                    </w:rPr>
                  </w:pPr>
                  <w:r>
                    <w:rPr>
                      <w:rFonts w:hint="eastAsia"/>
                      <w:szCs w:val="21"/>
                    </w:rPr>
                    <w:t>收集至污水收集池中，运至鹰手营子矿区垃圾填埋场渗滤液处理站统一处理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 w:type="dxa"/>
                  <w:vMerge w:val="continue"/>
                  <w:vAlign w:val="center"/>
                </w:tcPr>
                <w:p>
                  <w:pPr>
                    <w:spacing w:line="240" w:lineRule="exact"/>
                    <w:jc w:val="center"/>
                    <w:rPr>
                      <w:szCs w:val="21"/>
                    </w:rPr>
                  </w:pPr>
                </w:p>
              </w:tc>
              <w:tc>
                <w:tcPr>
                  <w:tcW w:w="1716" w:type="dxa"/>
                  <w:vAlign w:val="center"/>
                </w:tcPr>
                <w:p>
                  <w:pPr>
                    <w:spacing w:line="240" w:lineRule="exact"/>
                    <w:jc w:val="center"/>
                    <w:rPr>
                      <w:szCs w:val="21"/>
                    </w:rPr>
                  </w:pPr>
                  <w:r>
                    <w:rPr>
                      <w:rFonts w:hint="eastAsia"/>
                      <w:szCs w:val="21"/>
                    </w:rPr>
                    <w:t>车间冲洗废水</w:t>
                  </w:r>
                </w:p>
              </w:tc>
              <w:tc>
                <w:tcPr>
                  <w:tcW w:w="1383" w:type="dxa"/>
                  <w:vMerge w:val="continue"/>
                  <w:vAlign w:val="center"/>
                </w:tcPr>
                <w:p>
                  <w:pPr>
                    <w:spacing w:line="240" w:lineRule="exact"/>
                    <w:jc w:val="center"/>
                    <w:rPr>
                      <w:szCs w:val="21"/>
                    </w:rPr>
                  </w:pPr>
                </w:p>
              </w:tc>
              <w:tc>
                <w:tcPr>
                  <w:tcW w:w="1383" w:type="dxa"/>
                  <w:vAlign w:val="center"/>
                </w:tcPr>
                <w:p>
                  <w:pPr>
                    <w:spacing w:line="240" w:lineRule="exact"/>
                    <w:jc w:val="center"/>
                    <w:rPr>
                      <w:szCs w:val="21"/>
                    </w:rPr>
                  </w:pPr>
                  <w:r>
                    <w:rPr>
                      <w:rFonts w:hint="eastAsia"/>
                      <w:szCs w:val="21"/>
                    </w:rPr>
                    <w:t>6</w:t>
                  </w:r>
                  <w:r>
                    <w:rPr>
                      <w:szCs w:val="21"/>
                    </w:rPr>
                    <w:t>29.36</w:t>
                  </w:r>
                  <w:r>
                    <w:rPr>
                      <w:rFonts w:hint="eastAsia"/>
                      <w:szCs w:val="21"/>
                    </w:rPr>
                    <w:t>m</w:t>
                  </w:r>
                  <w:r>
                    <w:rPr>
                      <w:rFonts w:hint="eastAsia"/>
                      <w:szCs w:val="21"/>
                      <w:vertAlign w:val="superscript"/>
                    </w:rPr>
                    <w:t>3</w:t>
                  </w:r>
                  <w:r>
                    <w:rPr>
                      <w:szCs w:val="21"/>
                    </w:rPr>
                    <w:t>/</w:t>
                  </w:r>
                  <w:r>
                    <w:rPr>
                      <w:rFonts w:hint="eastAsia"/>
                      <w:szCs w:val="21"/>
                    </w:rPr>
                    <w:t>a</w:t>
                  </w:r>
                </w:p>
              </w:tc>
              <w:tc>
                <w:tcPr>
                  <w:tcW w:w="1383" w:type="dxa"/>
                  <w:vAlign w:val="center"/>
                </w:tcPr>
                <w:p>
                  <w:pPr>
                    <w:spacing w:line="240" w:lineRule="exact"/>
                    <w:jc w:val="center"/>
                    <w:rPr>
                      <w:szCs w:val="21"/>
                    </w:rPr>
                  </w:pPr>
                  <w:r>
                    <w:rPr>
                      <w:szCs w:val="21"/>
                    </w:rPr>
                    <w:t>566.85m</w:t>
                  </w:r>
                  <w:r>
                    <w:rPr>
                      <w:szCs w:val="21"/>
                      <w:vertAlign w:val="superscript"/>
                    </w:rPr>
                    <w:t>3</w:t>
                  </w:r>
                  <w:r>
                    <w:rPr>
                      <w:szCs w:val="21"/>
                    </w:rPr>
                    <w:t>/a</w:t>
                  </w:r>
                </w:p>
              </w:tc>
              <w:tc>
                <w:tcPr>
                  <w:tcW w:w="1383" w:type="dxa"/>
                  <w:vMerge w:val="continue"/>
                  <w:vAlign w:val="center"/>
                </w:tcPr>
                <w:p>
                  <w:pPr>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 w:type="dxa"/>
                  <w:vMerge w:val="continue"/>
                  <w:vAlign w:val="center"/>
                </w:tcPr>
                <w:p>
                  <w:pPr>
                    <w:spacing w:line="240" w:lineRule="exact"/>
                    <w:jc w:val="center"/>
                    <w:rPr>
                      <w:szCs w:val="21"/>
                    </w:rPr>
                  </w:pPr>
                </w:p>
              </w:tc>
              <w:tc>
                <w:tcPr>
                  <w:tcW w:w="1716" w:type="dxa"/>
                  <w:vAlign w:val="center"/>
                </w:tcPr>
                <w:p>
                  <w:pPr>
                    <w:spacing w:line="240" w:lineRule="exact"/>
                    <w:jc w:val="center"/>
                    <w:rPr>
                      <w:szCs w:val="21"/>
                    </w:rPr>
                  </w:pPr>
                  <w:r>
                    <w:rPr>
                      <w:rFonts w:hint="eastAsia"/>
                      <w:szCs w:val="21"/>
                    </w:rPr>
                    <w:t>车辆冲洗废水</w:t>
                  </w:r>
                </w:p>
              </w:tc>
              <w:tc>
                <w:tcPr>
                  <w:tcW w:w="1383" w:type="dxa"/>
                  <w:vMerge w:val="continue"/>
                  <w:vAlign w:val="center"/>
                </w:tcPr>
                <w:p>
                  <w:pPr>
                    <w:spacing w:line="240" w:lineRule="exact"/>
                    <w:jc w:val="center"/>
                    <w:rPr>
                      <w:szCs w:val="21"/>
                    </w:rPr>
                  </w:pPr>
                </w:p>
              </w:tc>
              <w:tc>
                <w:tcPr>
                  <w:tcW w:w="1383" w:type="dxa"/>
                  <w:vAlign w:val="center"/>
                </w:tcPr>
                <w:p>
                  <w:pPr>
                    <w:spacing w:line="240" w:lineRule="exact"/>
                    <w:jc w:val="center"/>
                    <w:rPr>
                      <w:szCs w:val="21"/>
                    </w:rPr>
                  </w:pPr>
                  <w:r>
                    <w:rPr>
                      <w:rFonts w:hint="eastAsia"/>
                      <w:szCs w:val="21"/>
                    </w:rPr>
                    <w:t>3</w:t>
                  </w:r>
                  <w:r>
                    <w:rPr>
                      <w:szCs w:val="21"/>
                    </w:rPr>
                    <w:t>06.6</w:t>
                  </w:r>
                  <w:r>
                    <w:rPr>
                      <w:rFonts w:hint="eastAsia"/>
                      <w:szCs w:val="21"/>
                    </w:rPr>
                    <w:t>m</w:t>
                  </w:r>
                  <w:r>
                    <w:rPr>
                      <w:rFonts w:hint="eastAsia"/>
                      <w:szCs w:val="21"/>
                      <w:vertAlign w:val="superscript"/>
                    </w:rPr>
                    <w:t>3</w:t>
                  </w:r>
                  <w:r>
                    <w:rPr>
                      <w:szCs w:val="21"/>
                    </w:rPr>
                    <w:t>/</w:t>
                  </w:r>
                  <w:r>
                    <w:rPr>
                      <w:rFonts w:hint="eastAsia"/>
                      <w:szCs w:val="21"/>
                    </w:rPr>
                    <w:t>a</w:t>
                  </w:r>
                </w:p>
              </w:tc>
              <w:tc>
                <w:tcPr>
                  <w:tcW w:w="1383" w:type="dxa"/>
                  <w:vAlign w:val="center"/>
                </w:tcPr>
                <w:p>
                  <w:pPr>
                    <w:spacing w:line="240" w:lineRule="exact"/>
                    <w:jc w:val="center"/>
                    <w:rPr>
                      <w:szCs w:val="21"/>
                    </w:rPr>
                  </w:pPr>
                  <w:r>
                    <w:rPr>
                      <w:rFonts w:hint="eastAsia"/>
                      <w:szCs w:val="21"/>
                    </w:rPr>
                    <w:t>2</w:t>
                  </w:r>
                  <w:r>
                    <w:rPr>
                      <w:szCs w:val="21"/>
                    </w:rPr>
                    <w:t>45.28</w:t>
                  </w:r>
                  <w:r>
                    <w:rPr>
                      <w:rFonts w:hint="eastAsia"/>
                      <w:szCs w:val="21"/>
                    </w:rPr>
                    <w:t>m</w:t>
                  </w:r>
                  <w:r>
                    <w:rPr>
                      <w:rFonts w:hint="eastAsia"/>
                      <w:szCs w:val="21"/>
                      <w:vertAlign w:val="superscript"/>
                    </w:rPr>
                    <w:t>3</w:t>
                  </w:r>
                  <w:r>
                    <w:rPr>
                      <w:szCs w:val="21"/>
                    </w:rPr>
                    <w:t>/</w:t>
                  </w:r>
                  <w:r>
                    <w:rPr>
                      <w:rFonts w:hint="eastAsia"/>
                      <w:szCs w:val="21"/>
                    </w:rPr>
                    <w:t>a</w:t>
                  </w:r>
                </w:p>
              </w:tc>
              <w:tc>
                <w:tcPr>
                  <w:tcW w:w="1383" w:type="dxa"/>
                  <w:vMerge w:val="continue"/>
                  <w:vAlign w:val="center"/>
                </w:tcPr>
                <w:p>
                  <w:pPr>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048" w:type="dxa"/>
                  <w:vMerge w:val="continue"/>
                  <w:vAlign w:val="center"/>
                </w:tcPr>
                <w:p>
                  <w:pPr>
                    <w:spacing w:line="240" w:lineRule="exact"/>
                    <w:jc w:val="center"/>
                    <w:rPr>
                      <w:szCs w:val="21"/>
                    </w:rPr>
                  </w:pPr>
                </w:p>
              </w:tc>
              <w:tc>
                <w:tcPr>
                  <w:tcW w:w="1716" w:type="dxa"/>
                  <w:vAlign w:val="center"/>
                </w:tcPr>
                <w:p>
                  <w:pPr>
                    <w:spacing w:line="240" w:lineRule="exact"/>
                    <w:jc w:val="center"/>
                    <w:rPr>
                      <w:szCs w:val="21"/>
                    </w:rPr>
                  </w:pPr>
                  <w:r>
                    <w:rPr>
                      <w:rFonts w:hint="eastAsia"/>
                      <w:szCs w:val="21"/>
                    </w:rPr>
                    <w:t>生活污水</w:t>
                  </w:r>
                </w:p>
              </w:tc>
              <w:tc>
                <w:tcPr>
                  <w:tcW w:w="1383" w:type="dxa"/>
                  <w:vMerge w:val="continue"/>
                  <w:vAlign w:val="center"/>
                </w:tcPr>
                <w:p>
                  <w:pPr>
                    <w:spacing w:line="240" w:lineRule="exact"/>
                    <w:jc w:val="center"/>
                    <w:rPr>
                      <w:szCs w:val="21"/>
                    </w:rPr>
                  </w:pPr>
                </w:p>
              </w:tc>
              <w:tc>
                <w:tcPr>
                  <w:tcW w:w="1383" w:type="dxa"/>
                  <w:vAlign w:val="center"/>
                </w:tcPr>
                <w:p>
                  <w:pPr>
                    <w:spacing w:line="240" w:lineRule="exact"/>
                    <w:jc w:val="center"/>
                    <w:rPr>
                      <w:szCs w:val="21"/>
                    </w:rPr>
                  </w:pPr>
                  <w:r>
                    <w:rPr>
                      <w:rFonts w:hint="eastAsia"/>
                      <w:szCs w:val="21"/>
                    </w:rPr>
                    <w:t>1</w:t>
                  </w:r>
                  <w:r>
                    <w:rPr>
                      <w:szCs w:val="21"/>
                    </w:rPr>
                    <w:t>60.6</w:t>
                  </w:r>
                  <w:r>
                    <w:rPr>
                      <w:rFonts w:hint="eastAsia"/>
                      <w:szCs w:val="21"/>
                    </w:rPr>
                    <w:t>m</w:t>
                  </w:r>
                  <w:r>
                    <w:rPr>
                      <w:rFonts w:hint="eastAsia"/>
                      <w:szCs w:val="21"/>
                      <w:vertAlign w:val="superscript"/>
                    </w:rPr>
                    <w:t>3</w:t>
                  </w:r>
                  <w:r>
                    <w:rPr>
                      <w:szCs w:val="21"/>
                    </w:rPr>
                    <w:t>/</w:t>
                  </w:r>
                  <w:r>
                    <w:rPr>
                      <w:rFonts w:hint="eastAsia"/>
                      <w:szCs w:val="21"/>
                    </w:rPr>
                    <w:t>a</w:t>
                  </w:r>
                </w:p>
              </w:tc>
              <w:tc>
                <w:tcPr>
                  <w:tcW w:w="1383" w:type="dxa"/>
                  <w:vAlign w:val="center"/>
                </w:tcPr>
                <w:p>
                  <w:pPr>
                    <w:spacing w:line="240" w:lineRule="exact"/>
                    <w:jc w:val="center"/>
                    <w:rPr>
                      <w:szCs w:val="21"/>
                    </w:rPr>
                  </w:pPr>
                  <w:r>
                    <w:rPr>
                      <w:rFonts w:hint="eastAsia"/>
                      <w:szCs w:val="21"/>
                    </w:rPr>
                    <w:t>1</w:t>
                  </w:r>
                  <w:r>
                    <w:rPr>
                      <w:szCs w:val="21"/>
                    </w:rPr>
                    <w:t>44.54</w:t>
                  </w:r>
                  <w:r>
                    <w:rPr>
                      <w:rFonts w:hint="eastAsia"/>
                      <w:szCs w:val="21"/>
                    </w:rPr>
                    <w:t>m</w:t>
                  </w:r>
                  <w:r>
                    <w:rPr>
                      <w:rFonts w:hint="eastAsia"/>
                      <w:szCs w:val="21"/>
                      <w:vertAlign w:val="superscript"/>
                    </w:rPr>
                    <w:t>3</w:t>
                  </w:r>
                  <w:r>
                    <w:rPr>
                      <w:szCs w:val="21"/>
                    </w:rPr>
                    <w:t>/</w:t>
                  </w:r>
                  <w:r>
                    <w:rPr>
                      <w:rFonts w:hint="eastAsia"/>
                      <w:szCs w:val="21"/>
                    </w:rPr>
                    <w:t>a</w:t>
                  </w:r>
                </w:p>
              </w:tc>
              <w:tc>
                <w:tcPr>
                  <w:tcW w:w="1383" w:type="dxa"/>
                  <w:vMerge w:val="continue"/>
                  <w:vAlign w:val="center"/>
                </w:tcPr>
                <w:p>
                  <w:pPr>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 w:type="dxa"/>
                  <w:vMerge w:val="restart"/>
                  <w:vAlign w:val="center"/>
                </w:tcPr>
                <w:p>
                  <w:pPr>
                    <w:spacing w:line="240" w:lineRule="exact"/>
                    <w:jc w:val="center"/>
                    <w:rPr>
                      <w:szCs w:val="21"/>
                    </w:rPr>
                  </w:pPr>
                  <w:r>
                    <w:rPr>
                      <w:szCs w:val="21"/>
                    </w:rPr>
                    <w:t>20</w:t>
                  </w:r>
                  <w:r>
                    <w:rPr>
                      <w:rFonts w:hint="eastAsia"/>
                      <w:szCs w:val="21"/>
                    </w:rPr>
                    <w:t>t/d</w:t>
                  </w:r>
                </w:p>
              </w:tc>
              <w:tc>
                <w:tcPr>
                  <w:tcW w:w="1716" w:type="dxa"/>
                  <w:vAlign w:val="center"/>
                </w:tcPr>
                <w:p>
                  <w:pPr>
                    <w:spacing w:line="240" w:lineRule="exact"/>
                    <w:jc w:val="center"/>
                    <w:rPr>
                      <w:szCs w:val="21"/>
                    </w:rPr>
                  </w:pPr>
                  <w:r>
                    <w:rPr>
                      <w:rFonts w:hint="eastAsia"/>
                      <w:szCs w:val="21"/>
                    </w:rPr>
                    <w:t>垃圾渗滤液</w:t>
                  </w:r>
                </w:p>
              </w:tc>
              <w:tc>
                <w:tcPr>
                  <w:tcW w:w="1383" w:type="dxa"/>
                  <w:vMerge w:val="continue"/>
                  <w:vAlign w:val="center"/>
                </w:tcPr>
                <w:p>
                  <w:pPr>
                    <w:spacing w:line="240" w:lineRule="exact"/>
                    <w:jc w:val="center"/>
                    <w:rPr>
                      <w:szCs w:val="21"/>
                    </w:rPr>
                  </w:pPr>
                </w:p>
              </w:tc>
              <w:tc>
                <w:tcPr>
                  <w:tcW w:w="1383" w:type="dxa"/>
                  <w:vAlign w:val="center"/>
                </w:tcPr>
                <w:p>
                  <w:pPr>
                    <w:spacing w:line="240" w:lineRule="exact"/>
                    <w:jc w:val="center"/>
                    <w:rPr>
                      <w:szCs w:val="21"/>
                    </w:rPr>
                  </w:pPr>
                  <w:r>
                    <w:rPr>
                      <w:rFonts w:hint="eastAsia"/>
                      <w:szCs w:val="21"/>
                    </w:rPr>
                    <w:t>-</w:t>
                  </w:r>
                </w:p>
              </w:tc>
              <w:tc>
                <w:tcPr>
                  <w:tcW w:w="1383" w:type="dxa"/>
                  <w:vAlign w:val="center"/>
                </w:tcPr>
                <w:p>
                  <w:pPr>
                    <w:spacing w:line="240" w:lineRule="exact"/>
                    <w:jc w:val="center"/>
                    <w:rPr>
                      <w:szCs w:val="21"/>
                    </w:rPr>
                  </w:pPr>
                  <w:r>
                    <w:rPr>
                      <w:szCs w:val="21"/>
                    </w:rPr>
                    <w:t>90</w:t>
                  </w:r>
                  <w:r>
                    <w:rPr>
                      <w:rFonts w:hint="eastAsia"/>
                      <w:szCs w:val="21"/>
                    </w:rPr>
                    <w:t>m</w:t>
                  </w:r>
                  <w:r>
                    <w:rPr>
                      <w:rFonts w:hint="eastAsia"/>
                      <w:szCs w:val="21"/>
                      <w:vertAlign w:val="superscript"/>
                    </w:rPr>
                    <w:t>3</w:t>
                  </w:r>
                  <w:r>
                    <w:rPr>
                      <w:szCs w:val="21"/>
                    </w:rPr>
                    <w:t>/</w:t>
                  </w:r>
                  <w:r>
                    <w:rPr>
                      <w:rFonts w:hint="eastAsia"/>
                      <w:szCs w:val="21"/>
                    </w:rPr>
                    <w:t>a</w:t>
                  </w:r>
                </w:p>
              </w:tc>
              <w:tc>
                <w:tcPr>
                  <w:tcW w:w="1383" w:type="dxa"/>
                  <w:vMerge w:val="continue"/>
                  <w:vAlign w:val="center"/>
                </w:tcPr>
                <w:p>
                  <w:pPr>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 w:type="dxa"/>
                  <w:vMerge w:val="continue"/>
                  <w:vAlign w:val="center"/>
                </w:tcPr>
                <w:p>
                  <w:pPr>
                    <w:spacing w:line="240" w:lineRule="exact"/>
                    <w:jc w:val="center"/>
                    <w:rPr>
                      <w:szCs w:val="21"/>
                    </w:rPr>
                  </w:pPr>
                </w:p>
              </w:tc>
              <w:tc>
                <w:tcPr>
                  <w:tcW w:w="1716" w:type="dxa"/>
                  <w:vAlign w:val="center"/>
                </w:tcPr>
                <w:p>
                  <w:pPr>
                    <w:spacing w:line="240" w:lineRule="exact"/>
                    <w:jc w:val="center"/>
                    <w:rPr>
                      <w:szCs w:val="21"/>
                    </w:rPr>
                  </w:pPr>
                  <w:r>
                    <w:rPr>
                      <w:rFonts w:hint="eastAsia"/>
                      <w:szCs w:val="21"/>
                    </w:rPr>
                    <w:t>冲洗废水</w:t>
                  </w:r>
                </w:p>
              </w:tc>
              <w:tc>
                <w:tcPr>
                  <w:tcW w:w="1383" w:type="dxa"/>
                  <w:vMerge w:val="continue"/>
                  <w:vAlign w:val="center"/>
                </w:tcPr>
                <w:p>
                  <w:pPr>
                    <w:spacing w:line="240" w:lineRule="exact"/>
                    <w:jc w:val="center"/>
                    <w:rPr>
                      <w:szCs w:val="21"/>
                    </w:rPr>
                  </w:pPr>
                </w:p>
              </w:tc>
              <w:tc>
                <w:tcPr>
                  <w:tcW w:w="1383" w:type="dxa"/>
                  <w:vAlign w:val="center"/>
                </w:tcPr>
                <w:p>
                  <w:pPr>
                    <w:spacing w:line="240" w:lineRule="exact"/>
                    <w:jc w:val="center"/>
                    <w:rPr>
                      <w:szCs w:val="21"/>
                    </w:rPr>
                  </w:pPr>
                  <w:r>
                    <w:rPr>
                      <w:rFonts w:hint="eastAsia"/>
                      <w:szCs w:val="21"/>
                    </w:rPr>
                    <w:t>5</w:t>
                  </w:r>
                  <w:r>
                    <w:rPr>
                      <w:szCs w:val="21"/>
                    </w:rPr>
                    <w:t>9.13</w:t>
                  </w:r>
                  <w:r>
                    <w:rPr>
                      <w:rFonts w:hint="eastAsia"/>
                      <w:szCs w:val="21"/>
                    </w:rPr>
                    <w:t>m</w:t>
                  </w:r>
                  <w:r>
                    <w:rPr>
                      <w:rFonts w:hint="eastAsia"/>
                      <w:szCs w:val="21"/>
                      <w:vertAlign w:val="superscript"/>
                    </w:rPr>
                    <w:t>3</w:t>
                  </w:r>
                  <w:r>
                    <w:rPr>
                      <w:szCs w:val="21"/>
                    </w:rPr>
                    <w:t>/</w:t>
                  </w:r>
                  <w:r>
                    <w:rPr>
                      <w:rFonts w:hint="eastAsia"/>
                      <w:szCs w:val="21"/>
                    </w:rPr>
                    <w:t>a</w:t>
                  </w:r>
                </w:p>
              </w:tc>
              <w:tc>
                <w:tcPr>
                  <w:tcW w:w="1383" w:type="dxa"/>
                  <w:vAlign w:val="center"/>
                </w:tcPr>
                <w:p>
                  <w:pPr>
                    <w:spacing w:line="240" w:lineRule="exact"/>
                    <w:jc w:val="center"/>
                    <w:rPr>
                      <w:szCs w:val="21"/>
                    </w:rPr>
                  </w:pPr>
                  <w:r>
                    <w:rPr>
                      <w:szCs w:val="21"/>
                    </w:rPr>
                    <w:t>54.39m</w:t>
                  </w:r>
                  <w:r>
                    <w:rPr>
                      <w:szCs w:val="21"/>
                      <w:vertAlign w:val="superscript"/>
                    </w:rPr>
                    <w:t>3</w:t>
                  </w:r>
                  <w:r>
                    <w:rPr>
                      <w:szCs w:val="21"/>
                    </w:rPr>
                    <w:t>/a</w:t>
                  </w:r>
                </w:p>
              </w:tc>
              <w:tc>
                <w:tcPr>
                  <w:tcW w:w="1383" w:type="dxa"/>
                  <w:vMerge w:val="continue"/>
                  <w:vAlign w:val="center"/>
                </w:tcPr>
                <w:p>
                  <w:pPr>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 w:type="dxa"/>
                  <w:vMerge w:val="continue"/>
                  <w:vAlign w:val="center"/>
                </w:tcPr>
                <w:p>
                  <w:pPr>
                    <w:spacing w:line="240" w:lineRule="exact"/>
                    <w:jc w:val="center"/>
                    <w:rPr>
                      <w:szCs w:val="21"/>
                    </w:rPr>
                  </w:pPr>
                </w:p>
              </w:tc>
              <w:tc>
                <w:tcPr>
                  <w:tcW w:w="1716" w:type="dxa"/>
                  <w:vAlign w:val="center"/>
                </w:tcPr>
                <w:p>
                  <w:pPr>
                    <w:spacing w:line="240" w:lineRule="exact"/>
                    <w:jc w:val="center"/>
                    <w:rPr>
                      <w:szCs w:val="21"/>
                    </w:rPr>
                  </w:pPr>
                  <w:r>
                    <w:rPr>
                      <w:rFonts w:hint="eastAsia"/>
                      <w:szCs w:val="21"/>
                    </w:rPr>
                    <w:t>生活污水</w:t>
                  </w:r>
                </w:p>
              </w:tc>
              <w:tc>
                <w:tcPr>
                  <w:tcW w:w="1383" w:type="dxa"/>
                  <w:vMerge w:val="continue"/>
                  <w:vAlign w:val="center"/>
                </w:tcPr>
                <w:p>
                  <w:pPr>
                    <w:spacing w:line="240" w:lineRule="exact"/>
                    <w:jc w:val="center"/>
                    <w:rPr>
                      <w:szCs w:val="21"/>
                    </w:rPr>
                  </w:pPr>
                </w:p>
              </w:tc>
              <w:tc>
                <w:tcPr>
                  <w:tcW w:w="1383" w:type="dxa"/>
                  <w:vAlign w:val="center"/>
                </w:tcPr>
                <w:p>
                  <w:pPr>
                    <w:spacing w:line="240" w:lineRule="exact"/>
                    <w:jc w:val="center"/>
                    <w:rPr>
                      <w:szCs w:val="21"/>
                    </w:rPr>
                  </w:pPr>
                  <w:r>
                    <w:rPr>
                      <w:rFonts w:hint="eastAsia"/>
                      <w:szCs w:val="21"/>
                    </w:rPr>
                    <w:t>7</w:t>
                  </w:r>
                  <w:r>
                    <w:rPr>
                      <w:szCs w:val="21"/>
                    </w:rPr>
                    <w:t>3</w:t>
                  </w:r>
                  <w:r>
                    <w:rPr>
                      <w:rFonts w:hint="eastAsia"/>
                      <w:szCs w:val="21"/>
                    </w:rPr>
                    <w:t>m</w:t>
                  </w:r>
                  <w:r>
                    <w:rPr>
                      <w:rFonts w:hint="eastAsia"/>
                      <w:szCs w:val="21"/>
                      <w:vertAlign w:val="superscript"/>
                    </w:rPr>
                    <w:t>3</w:t>
                  </w:r>
                  <w:r>
                    <w:rPr>
                      <w:szCs w:val="21"/>
                    </w:rPr>
                    <w:t>/</w:t>
                  </w:r>
                  <w:r>
                    <w:rPr>
                      <w:rFonts w:hint="eastAsia"/>
                      <w:szCs w:val="21"/>
                    </w:rPr>
                    <w:t>a</w:t>
                  </w:r>
                </w:p>
              </w:tc>
              <w:tc>
                <w:tcPr>
                  <w:tcW w:w="1383" w:type="dxa"/>
                  <w:vAlign w:val="center"/>
                </w:tcPr>
                <w:p>
                  <w:pPr>
                    <w:spacing w:line="240" w:lineRule="exact"/>
                    <w:jc w:val="center"/>
                    <w:rPr>
                      <w:szCs w:val="21"/>
                    </w:rPr>
                  </w:pPr>
                  <w:r>
                    <w:rPr>
                      <w:rFonts w:hint="eastAsia"/>
                      <w:szCs w:val="21"/>
                    </w:rPr>
                    <w:t>6</w:t>
                  </w:r>
                  <w:r>
                    <w:rPr>
                      <w:szCs w:val="21"/>
                    </w:rPr>
                    <w:t>5.7</w:t>
                  </w:r>
                  <w:r>
                    <w:rPr>
                      <w:rFonts w:hint="eastAsia"/>
                      <w:szCs w:val="21"/>
                    </w:rPr>
                    <w:t>m</w:t>
                  </w:r>
                  <w:r>
                    <w:rPr>
                      <w:rFonts w:hint="eastAsia"/>
                      <w:szCs w:val="21"/>
                      <w:vertAlign w:val="superscript"/>
                    </w:rPr>
                    <w:t>3</w:t>
                  </w:r>
                  <w:r>
                    <w:rPr>
                      <w:szCs w:val="21"/>
                    </w:rPr>
                    <w:t>/</w:t>
                  </w:r>
                  <w:r>
                    <w:rPr>
                      <w:rFonts w:hint="eastAsia"/>
                      <w:szCs w:val="21"/>
                    </w:rPr>
                    <w:t>a</w:t>
                  </w:r>
                </w:p>
              </w:tc>
              <w:tc>
                <w:tcPr>
                  <w:tcW w:w="1383" w:type="dxa"/>
                  <w:vMerge w:val="continue"/>
                  <w:vAlign w:val="center"/>
                </w:tcPr>
                <w:p>
                  <w:pPr>
                    <w:spacing w:line="240" w:lineRule="exact"/>
                    <w:jc w:val="center"/>
                    <w:rPr>
                      <w:szCs w:val="21"/>
                    </w:rPr>
                  </w:pPr>
                </w:p>
              </w:tc>
            </w:tr>
          </w:tbl>
          <w:p>
            <w:pPr>
              <w:pStyle w:val="105"/>
              <w:spacing w:line="360" w:lineRule="auto"/>
              <w:ind w:firstLine="480" w:firstLineChars="200"/>
              <w:jc w:val="both"/>
              <w:rPr>
                <w:rFonts w:ascii="Times New Roman"/>
                <w:color w:val="auto"/>
                <w:szCs w:val="21"/>
              </w:rPr>
            </w:pPr>
            <w:r>
              <w:rPr>
                <w:rFonts w:hint="eastAsia" w:ascii="Times New Roman"/>
                <w:color w:val="auto"/>
              </w:rPr>
              <w:t>废水经</w:t>
            </w:r>
            <w:r>
              <w:rPr>
                <w:rFonts w:hint="eastAsia" w:ascii="Times New Roman"/>
                <w:color w:val="auto"/>
                <w:szCs w:val="21"/>
              </w:rPr>
              <w:t>鹰手营子矿区垃圾填埋场渗滤液处理站统一处理</w:t>
            </w:r>
            <w:r>
              <w:rPr>
                <w:rFonts w:hint="eastAsia" w:ascii="Times New Roman"/>
                <w:color w:val="auto"/>
              </w:rPr>
              <w:t>后达到生活垃圾填埋场污染控制标准》（</w:t>
            </w:r>
            <w:r>
              <w:rPr>
                <w:rFonts w:ascii="Times New Roman"/>
                <w:color w:val="auto"/>
              </w:rPr>
              <w:t>GB16889-2008</w:t>
            </w:r>
            <w:r>
              <w:rPr>
                <w:rFonts w:hint="eastAsia" w:ascii="Times New Roman"/>
                <w:color w:val="auto"/>
              </w:rPr>
              <w:t>）表</w:t>
            </w:r>
            <w:r>
              <w:rPr>
                <w:rFonts w:ascii="Times New Roman"/>
                <w:color w:val="auto"/>
              </w:rPr>
              <w:t>2</w:t>
            </w:r>
            <w:r>
              <w:rPr>
                <w:rFonts w:hint="eastAsia" w:ascii="Times New Roman"/>
                <w:color w:val="auto"/>
              </w:rPr>
              <w:t>规定的污染物排放浓度限值，在非雨季回灌垃圾堆体，在雨季排入污水处理厂进一步处理，</w:t>
            </w:r>
            <w:r>
              <w:rPr>
                <w:rFonts w:hint="eastAsia" w:ascii="Times New Roman"/>
                <w:color w:val="auto"/>
                <w:szCs w:val="21"/>
              </w:rPr>
              <w:t>出水水质满足柳源污水处理厂收水标准要求，</w:t>
            </w:r>
            <w:r>
              <w:rPr>
                <w:rFonts w:hint="eastAsia" w:ascii="Times New Roman"/>
                <w:color w:val="auto"/>
              </w:rPr>
              <w:t>排放标准达到</w:t>
            </w:r>
            <w:r>
              <w:rPr>
                <w:rFonts w:hint="eastAsia" w:ascii="Times New Roman"/>
                <w:color w:val="auto"/>
                <w:spacing w:val="-10"/>
              </w:rPr>
              <w:t>《污水综合排放标准》（GB8978-1996）表4中的三级标准</w:t>
            </w:r>
            <w:r>
              <w:rPr>
                <w:rFonts w:hint="eastAsia" w:ascii="Times New Roman"/>
                <w:color w:val="auto"/>
              </w:rPr>
              <w:t>。</w:t>
            </w:r>
          </w:p>
          <w:p>
            <w:pPr>
              <w:spacing w:line="360" w:lineRule="auto"/>
              <w:ind w:firstLine="482" w:firstLineChars="200"/>
              <w:rPr>
                <w:b/>
                <w:snapToGrid w:val="0"/>
                <w:sz w:val="24"/>
                <w:szCs w:val="24"/>
              </w:rPr>
            </w:pPr>
            <w:r>
              <w:rPr>
                <w:b/>
                <w:snapToGrid w:val="0"/>
                <w:sz w:val="24"/>
                <w:szCs w:val="24"/>
              </w:rPr>
              <w:t>3、噪声</w:t>
            </w:r>
          </w:p>
          <w:p>
            <w:pPr>
              <w:pStyle w:val="105"/>
              <w:spacing w:line="360" w:lineRule="auto"/>
              <w:ind w:firstLine="480" w:firstLineChars="200"/>
              <w:jc w:val="both"/>
              <w:rPr>
                <w:rFonts w:ascii="Times New Roman"/>
                <w:color w:val="auto"/>
              </w:rPr>
            </w:pPr>
            <w:r>
              <w:rPr>
                <w:rFonts w:hint="eastAsia" w:ascii="Times New Roman"/>
                <w:color w:val="auto"/>
              </w:rPr>
              <w:t>本项目高噪声设备主要为水平压缩机、垃圾集装箱、车厢可卸式垃圾车（钩臂车）、高压清洗机等设备运行过程中产生的机械噪声，根据同类转运站类比监测，噪声值约</w:t>
            </w:r>
            <w:r>
              <w:rPr>
                <w:rFonts w:ascii="Times New Roman" w:cs="Times New Roman"/>
                <w:color w:val="auto"/>
              </w:rPr>
              <w:t>65~80dB</w:t>
            </w:r>
            <w:r>
              <w:rPr>
                <w:rFonts w:hint="eastAsia" w:ascii="Times New Roman"/>
                <w:color w:val="auto"/>
              </w:rPr>
              <w:t>（</w:t>
            </w:r>
            <w:r>
              <w:rPr>
                <w:rFonts w:ascii="Times New Roman" w:cs="Times New Roman"/>
                <w:color w:val="auto"/>
              </w:rPr>
              <w:t>A</w:t>
            </w:r>
            <w:r>
              <w:rPr>
                <w:rFonts w:hint="eastAsia" w:ascii="Times New Roman"/>
                <w:color w:val="auto"/>
              </w:rPr>
              <w:t>）</w:t>
            </w:r>
            <w:r>
              <w:rPr>
                <w:rFonts w:ascii="Times New Roman"/>
                <w:color w:val="auto"/>
              </w:rPr>
              <w:t>。</w:t>
            </w:r>
          </w:p>
          <w:p>
            <w:pPr>
              <w:spacing w:line="360" w:lineRule="auto"/>
              <w:ind w:firstLine="482" w:firstLineChars="200"/>
              <w:rPr>
                <w:b/>
                <w:snapToGrid w:val="0"/>
                <w:sz w:val="24"/>
                <w:szCs w:val="24"/>
              </w:rPr>
            </w:pPr>
            <w:r>
              <w:rPr>
                <w:b/>
                <w:snapToGrid w:val="0"/>
                <w:sz w:val="24"/>
                <w:szCs w:val="24"/>
              </w:rPr>
              <w:t>4、固废</w:t>
            </w:r>
          </w:p>
          <w:p>
            <w:pPr>
              <w:spacing w:line="360" w:lineRule="auto"/>
              <w:ind w:firstLine="480" w:firstLineChars="200"/>
              <w:rPr>
                <w:sz w:val="24"/>
                <w:szCs w:val="24"/>
              </w:rPr>
            </w:pPr>
            <w:r>
              <w:rPr>
                <w:rFonts w:hint="eastAsia"/>
                <w:sz w:val="24"/>
                <w:szCs w:val="24"/>
              </w:rPr>
              <w:t>本项目</w:t>
            </w:r>
            <w:r>
              <w:rPr>
                <w:sz w:val="24"/>
                <w:szCs w:val="24"/>
              </w:rPr>
              <w:t>固体废弃物主要为</w:t>
            </w:r>
            <w:r>
              <w:rPr>
                <w:rFonts w:hint="eastAsia"/>
                <w:sz w:val="24"/>
                <w:szCs w:val="24"/>
              </w:rPr>
              <w:t>污水收集池中的污泥及员工</w:t>
            </w:r>
            <w:r>
              <w:rPr>
                <w:sz w:val="24"/>
                <w:szCs w:val="24"/>
              </w:rPr>
              <w:t>生活垃圾。</w:t>
            </w:r>
          </w:p>
          <w:p>
            <w:pPr>
              <w:pStyle w:val="105"/>
              <w:spacing w:line="360" w:lineRule="auto"/>
              <w:ind w:firstLine="480" w:firstLineChars="200"/>
              <w:jc w:val="both"/>
              <w:rPr>
                <w:rFonts w:ascii="Times New Roman"/>
                <w:color w:val="auto"/>
              </w:rPr>
            </w:pPr>
            <w:r>
              <w:rPr>
                <w:rFonts w:hint="eastAsia" w:ascii="Times New Roman"/>
                <w:color w:val="auto"/>
              </w:rPr>
              <w:t>本项目员工人数为</w:t>
            </w:r>
            <w:r>
              <w:rPr>
                <w:rFonts w:ascii="Times New Roman" w:cs="Times New Roman"/>
                <w:color w:val="auto"/>
              </w:rPr>
              <w:t>16</w:t>
            </w:r>
            <w:r>
              <w:rPr>
                <w:rFonts w:hint="eastAsia" w:ascii="Times New Roman"/>
                <w:color w:val="auto"/>
              </w:rPr>
              <w:t>人，生活垃圾按每人</w:t>
            </w:r>
            <w:r>
              <w:rPr>
                <w:rFonts w:ascii="Times New Roman" w:cs="Times New Roman"/>
                <w:color w:val="auto"/>
              </w:rPr>
              <w:t>0.5kg/d</w:t>
            </w:r>
            <w:r>
              <w:rPr>
                <w:rFonts w:hint="eastAsia" w:ascii="Times New Roman"/>
                <w:color w:val="auto"/>
              </w:rPr>
              <w:t>的产生量计算，则生活垃圾产生量为</w:t>
            </w:r>
            <w:r>
              <w:rPr>
                <w:rFonts w:ascii="Times New Roman" w:cs="Times New Roman"/>
                <w:color w:val="auto"/>
              </w:rPr>
              <w:t>8kg/d</w:t>
            </w:r>
            <w:r>
              <w:rPr>
                <w:rFonts w:hint="eastAsia" w:ascii="Times New Roman"/>
                <w:color w:val="auto"/>
              </w:rPr>
              <w:t>（</w:t>
            </w:r>
            <w:r>
              <w:rPr>
                <w:rFonts w:ascii="Times New Roman"/>
                <w:color w:val="auto"/>
              </w:rPr>
              <w:t>2.92</w:t>
            </w:r>
            <w:r>
              <w:rPr>
                <w:rFonts w:hint="eastAsia" w:ascii="Times New Roman"/>
                <w:color w:val="auto"/>
              </w:rPr>
              <w:t>t/a）。</w:t>
            </w:r>
          </w:p>
        </w:tc>
      </w:tr>
    </w:tbl>
    <w:p>
      <w:pPr>
        <w:spacing w:line="360" w:lineRule="auto"/>
        <w:outlineLvl w:val="0"/>
        <w:rPr>
          <w:b/>
          <w:bCs/>
          <w:sz w:val="28"/>
          <w:szCs w:val="28"/>
        </w:rPr>
        <w:sectPr>
          <w:footerReference r:id="rId5" w:type="default"/>
          <w:pgSz w:w="11906" w:h="16838"/>
          <w:pgMar w:top="1440" w:right="1800" w:bottom="1440" w:left="1800" w:header="851" w:footer="992" w:gutter="0"/>
          <w:pgNumType w:start="1"/>
          <w:cols w:space="720" w:num="1"/>
          <w:docGrid w:type="lines" w:linePitch="312" w:charSpace="0"/>
        </w:sectPr>
      </w:pPr>
    </w:p>
    <w:p>
      <w:pPr>
        <w:spacing w:line="360" w:lineRule="auto"/>
        <w:outlineLvl w:val="0"/>
        <w:rPr>
          <w:b/>
          <w:bCs/>
          <w:sz w:val="28"/>
          <w:szCs w:val="28"/>
        </w:rPr>
      </w:pPr>
      <w:r>
        <w:rPr>
          <w:b/>
          <w:bCs/>
          <w:sz w:val="28"/>
          <w:szCs w:val="28"/>
        </w:rPr>
        <w:t>项目主要污染物产生及预计排放情况</w:t>
      </w:r>
    </w:p>
    <w:tbl>
      <w:tblPr>
        <w:tblStyle w:val="28"/>
        <w:tblW w:w="8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643"/>
        <w:gridCol w:w="943"/>
        <w:gridCol w:w="656"/>
        <w:gridCol w:w="630"/>
        <w:gridCol w:w="1027"/>
        <w:gridCol w:w="1802"/>
        <w:gridCol w:w="270"/>
        <w:gridCol w:w="1810"/>
        <w:gridCol w:w="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671" w:type="dxa"/>
            <w:tcBorders>
              <w:tl2br w:val="single" w:color="auto" w:sz="4" w:space="0"/>
            </w:tcBorders>
            <w:vAlign w:val="center"/>
          </w:tcPr>
          <w:p>
            <w:pPr>
              <w:spacing w:line="360" w:lineRule="auto"/>
              <w:jc w:val="center"/>
              <w:rPr>
                <w:b/>
                <w:szCs w:val="21"/>
              </w:rPr>
            </w:pPr>
            <w:r>
              <w:rPr>
                <w:rFonts w:hint="eastAsia"/>
                <w:b/>
                <w:szCs w:val="21"/>
              </w:rPr>
              <w:t>内容</w:t>
            </w:r>
          </w:p>
          <w:p>
            <w:pPr>
              <w:spacing w:line="360" w:lineRule="auto"/>
              <w:jc w:val="center"/>
              <w:rPr>
                <w:b/>
                <w:szCs w:val="21"/>
              </w:rPr>
            </w:pPr>
            <w:r>
              <w:rPr>
                <w:rFonts w:hint="eastAsia"/>
                <w:b/>
                <w:szCs w:val="21"/>
              </w:rPr>
              <w:t>类型</w:t>
            </w:r>
          </w:p>
        </w:tc>
        <w:tc>
          <w:tcPr>
            <w:tcW w:w="1703" w:type="dxa"/>
            <w:gridSpan w:val="2"/>
            <w:vAlign w:val="center"/>
          </w:tcPr>
          <w:p>
            <w:pPr>
              <w:spacing w:line="360" w:lineRule="auto"/>
              <w:jc w:val="center"/>
              <w:rPr>
                <w:b/>
                <w:szCs w:val="21"/>
              </w:rPr>
            </w:pPr>
            <w:r>
              <w:rPr>
                <w:rFonts w:hint="eastAsia"/>
                <w:b/>
                <w:szCs w:val="21"/>
              </w:rPr>
              <w:t>排放源</w:t>
            </w:r>
          </w:p>
        </w:tc>
        <w:tc>
          <w:tcPr>
            <w:tcW w:w="2268" w:type="dxa"/>
            <w:gridSpan w:val="3"/>
            <w:vAlign w:val="center"/>
          </w:tcPr>
          <w:p>
            <w:pPr>
              <w:spacing w:line="360" w:lineRule="auto"/>
              <w:jc w:val="center"/>
              <w:rPr>
                <w:b/>
                <w:szCs w:val="21"/>
              </w:rPr>
            </w:pPr>
            <w:r>
              <w:rPr>
                <w:rFonts w:hint="eastAsia"/>
                <w:b/>
                <w:szCs w:val="21"/>
              </w:rPr>
              <w:t>污染物名称</w:t>
            </w:r>
          </w:p>
        </w:tc>
        <w:tc>
          <w:tcPr>
            <w:tcW w:w="1738" w:type="dxa"/>
            <w:vAlign w:val="center"/>
          </w:tcPr>
          <w:p>
            <w:pPr>
              <w:spacing w:line="360" w:lineRule="auto"/>
              <w:jc w:val="center"/>
              <w:rPr>
                <w:b/>
                <w:szCs w:val="21"/>
              </w:rPr>
            </w:pPr>
            <w:r>
              <w:rPr>
                <w:b/>
                <w:szCs w:val="21"/>
              </w:rPr>
              <w:t>处理前产生</w:t>
            </w:r>
            <w:r>
              <w:rPr>
                <w:rFonts w:hint="eastAsia"/>
                <w:b/>
                <w:szCs w:val="21"/>
              </w:rPr>
              <w:t>量</w:t>
            </w:r>
          </w:p>
        </w:tc>
        <w:tc>
          <w:tcPr>
            <w:tcW w:w="2072" w:type="dxa"/>
            <w:gridSpan w:val="2"/>
            <w:vAlign w:val="center"/>
          </w:tcPr>
          <w:p>
            <w:pPr>
              <w:spacing w:line="360" w:lineRule="auto"/>
              <w:jc w:val="center"/>
              <w:rPr>
                <w:b/>
                <w:szCs w:val="21"/>
              </w:rPr>
            </w:pPr>
            <w:r>
              <w:rPr>
                <w:b/>
                <w:szCs w:val="21"/>
              </w:rPr>
              <w:t>排放</w:t>
            </w:r>
            <w:r>
              <w:rPr>
                <w:rFonts w:hint="eastAsia"/>
                <w:b/>
                <w:szCs w:val="21"/>
              </w:rPr>
              <w:t>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671" w:type="dxa"/>
            <w:vMerge w:val="restart"/>
            <w:vAlign w:val="center"/>
          </w:tcPr>
          <w:p>
            <w:pPr>
              <w:spacing w:line="360" w:lineRule="auto"/>
              <w:jc w:val="center"/>
              <w:rPr>
                <w:b/>
                <w:szCs w:val="21"/>
              </w:rPr>
            </w:pPr>
            <w:r>
              <w:rPr>
                <w:rFonts w:hint="eastAsia"/>
                <w:b/>
                <w:szCs w:val="21"/>
              </w:rPr>
              <w:t>大气污染物</w:t>
            </w:r>
          </w:p>
        </w:tc>
        <w:tc>
          <w:tcPr>
            <w:tcW w:w="627" w:type="dxa"/>
            <w:vMerge w:val="restart"/>
            <w:vAlign w:val="center"/>
          </w:tcPr>
          <w:p>
            <w:pPr>
              <w:spacing w:line="360" w:lineRule="auto"/>
              <w:jc w:val="center"/>
              <w:rPr>
                <w:szCs w:val="21"/>
              </w:rPr>
            </w:pPr>
            <w:r>
              <w:rPr>
                <w:rFonts w:hint="eastAsia"/>
                <w:szCs w:val="21"/>
              </w:rPr>
              <w:t>施工期</w:t>
            </w:r>
          </w:p>
        </w:tc>
        <w:tc>
          <w:tcPr>
            <w:tcW w:w="1076" w:type="dxa"/>
            <w:vAlign w:val="center"/>
          </w:tcPr>
          <w:p>
            <w:pPr>
              <w:spacing w:line="360" w:lineRule="auto"/>
              <w:jc w:val="center"/>
              <w:rPr>
                <w:szCs w:val="21"/>
              </w:rPr>
            </w:pPr>
            <w:r>
              <w:rPr>
                <w:rFonts w:hint="eastAsia"/>
                <w:szCs w:val="21"/>
              </w:rPr>
              <w:t>运输车辆尾气</w:t>
            </w:r>
          </w:p>
        </w:tc>
        <w:tc>
          <w:tcPr>
            <w:tcW w:w="2268" w:type="dxa"/>
            <w:gridSpan w:val="3"/>
            <w:vAlign w:val="center"/>
          </w:tcPr>
          <w:p>
            <w:pPr>
              <w:spacing w:line="360" w:lineRule="auto"/>
              <w:jc w:val="center"/>
              <w:rPr>
                <w:szCs w:val="21"/>
              </w:rPr>
            </w:pPr>
            <w:r>
              <w:rPr>
                <w:rFonts w:hint="eastAsia"/>
                <w:szCs w:val="21"/>
              </w:rPr>
              <w:t>CO、NOx</w:t>
            </w:r>
          </w:p>
        </w:tc>
        <w:tc>
          <w:tcPr>
            <w:tcW w:w="3810" w:type="dxa"/>
            <w:gridSpan w:val="3"/>
            <w:vAlign w:val="center"/>
          </w:tcPr>
          <w:p>
            <w:pPr>
              <w:spacing w:line="360" w:lineRule="auto"/>
              <w:jc w:val="center"/>
              <w:rPr>
                <w:szCs w:val="21"/>
              </w:rPr>
            </w:pPr>
            <w:r>
              <w:rPr>
                <w:rFonts w:hint="eastAsia"/>
                <w:szCs w:val="21"/>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671" w:type="dxa"/>
            <w:vMerge w:val="continue"/>
            <w:vAlign w:val="center"/>
          </w:tcPr>
          <w:p>
            <w:pPr>
              <w:spacing w:line="360" w:lineRule="auto"/>
              <w:jc w:val="center"/>
              <w:rPr>
                <w:szCs w:val="21"/>
              </w:rPr>
            </w:pPr>
          </w:p>
        </w:tc>
        <w:tc>
          <w:tcPr>
            <w:tcW w:w="627" w:type="dxa"/>
            <w:vMerge w:val="continue"/>
            <w:vAlign w:val="center"/>
          </w:tcPr>
          <w:p>
            <w:pPr>
              <w:spacing w:line="360" w:lineRule="auto"/>
              <w:jc w:val="center"/>
              <w:rPr>
                <w:szCs w:val="21"/>
              </w:rPr>
            </w:pPr>
          </w:p>
        </w:tc>
        <w:tc>
          <w:tcPr>
            <w:tcW w:w="1076" w:type="dxa"/>
            <w:vAlign w:val="center"/>
          </w:tcPr>
          <w:p>
            <w:pPr>
              <w:spacing w:line="360" w:lineRule="auto"/>
              <w:jc w:val="center"/>
              <w:rPr>
                <w:szCs w:val="21"/>
              </w:rPr>
            </w:pPr>
            <w:r>
              <w:rPr>
                <w:rFonts w:hint="eastAsia"/>
                <w:szCs w:val="21"/>
              </w:rPr>
              <w:t>运输扬尘</w:t>
            </w:r>
          </w:p>
        </w:tc>
        <w:tc>
          <w:tcPr>
            <w:tcW w:w="2268" w:type="dxa"/>
            <w:gridSpan w:val="3"/>
            <w:vAlign w:val="center"/>
          </w:tcPr>
          <w:p>
            <w:pPr>
              <w:spacing w:line="360" w:lineRule="auto"/>
              <w:jc w:val="center"/>
              <w:rPr>
                <w:szCs w:val="21"/>
              </w:rPr>
            </w:pPr>
            <w:r>
              <w:rPr>
                <w:rFonts w:hint="eastAsia"/>
                <w:szCs w:val="21"/>
              </w:rPr>
              <w:t>TSP</w:t>
            </w:r>
          </w:p>
        </w:tc>
        <w:tc>
          <w:tcPr>
            <w:tcW w:w="3810" w:type="dxa"/>
            <w:gridSpan w:val="3"/>
            <w:vAlign w:val="center"/>
          </w:tcPr>
          <w:p>
            <w:pPr>
              <w:spacing w:line="360" w:lineRule="auto"/>
              <w:jc w:val="center"/>
              <w:rPr>
                <w:szCs w:val="21"/>
              </w:rPr>
            </w:pPr>
            <w:r>
              <w:rPr>
                <w:rFonts w:hint="eastAsia"/>
                <w:szCs w:val="21"/>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671" w:type="dxa"/>
            <w:vMerge w:val="continue"/>
            <w:vAlign w:val="center"/>
          </w:tcPr>
          <w:p>
            <w:pPr>
              <w:spacing w:line="360" w:lineRule="auto"/>
              <w:jc w:val="center"/>
              <w:rPr>
                <w:szCs w:val="21"/>
              </w:rPr>
            </w:pPr>
          </w:p>
        </w:tc>
        <w:tc>
          <w:tcPr>
            <w:tcW w:w="627" w:type="dxa"/>
            <w:vMerge w:val="continue"/>
            <w:vAlign w:val="center"/>
          </w:tcPr>
          <w:p>
            <w:pPr>
              <w:spacing w:line="360" w:lineRule="auto"/>
              <w:jc w:val="center"/>
              <w:rPr>
                <w:szCs w:val="21"/>
              </w:rPr>
            </w:pPr>
          </w:p>
        </w:tc>
        <w:tc>
          <w:tcPr>
            <w:tcW w:w="1076" w:type="dxa"/>
            <w:vAlign w:val="center"/>
          </w:tcPr>
          <w:p>
            <w:pPr>
              <w:spacing w:line="360" w:lineRule="auto"/>
              <w:jc w:val="center"/>
              <w:rPr>
                <w:szCs w:val="21"/>
              </w:rPr>
            </w:pPr>
            <w:r>
              <w:rPr>
                <w:rFonts w:hint="eastAsia"/>
                <w:szCs w:val="21"/>
              </w:rPr>
              <w:t>装饰废气</w:t>
            </w:r>
          </w:p>
        </w:tc>
        <w:tc>
          <w:tcPr>
            <w:tcW w:w="2268" w:type="dxa"/>
            <w:gridSpan w:val="3"/>
            <w:vAlign w:val="center"/>
          </w:tcPr>
          <w:p>
            <w:pPr>
              <w:spacing w:line="360" w:lineRule="auto"/>
              <w:jc w:val="center"/>
              <w:rPr>
                <w:szCs w:val="21"/>
              </w:rPr>
            </w:pPr>
            <w:r>
              <w:rPr>
                <w:rFonts w:hint="eastAsia"/>
                <w:szCs w:val="21"/>
              </w:rPr>
              <w:t>苯系物</w:t>
            </w:r>
          </w:p>
        </w:tc>
        <w:tc>
          <w:tcPr>
            <w:tcW w:w="3810" w:type="dxa"/>
            <w:gridSpan w:val="3"/>
            <w:vAlign w:val="center"/>
          </w:tcPr>
          <w:p>
            <w:pPr>
              <w:spacing w:line="360" w:lineRule="auto"/>
              <w:jc w:val="center"/>
              <w:rPr>
                <w:szCs w:val="21"/>
              </w:rPr>
            </w:pPr>
            <w:r>
              <w:rPr>
                <w:rFonts w:hint="eastAsia"/>
                <w:szCs w:val="21"/>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671" w:type="dxa"/>
            <w:vMerge w:val="continue"/>
            <w:vAlign w:val="center"/>
          </w:tcPr>
          <w:p>
            <w:pPr>
              <w:spacing w:line="360" w:lineRule="auto"/>
              <w:jc w:val="center"/>
              <w:rPr>
                <w:szCs w:val="21"/>
              </w:rPr>
            </w:pPr>
          </w:p>
        </w:tc>
        <w:tc>
          <w:tcPr>
            <w:tcW w:w="627" w:type="dxa"/>
            <w:vMerge w:val="restart"/>
            <w:vAlign w:val="center"/>
          </w:tcPr>
          <w:p>
            <w:pPr>
              <w:spacing w:line="360" w:lineRule="auto"/>
              <w:jc w:val="center"/>
              <w:rPr>
                <w:szCs w:val="21"/>
              </w:rPr>
            </w:pPr>
            <w:r>
              <w:rPr>
                <w:rFonts w:hint="eastAsia"/>
                <w:szCs w:val="21"/>
              </w:rPr>
              <w:t>运营期</w:t>
            </w:r>
          </w:p>
        </w:tc>
        <w:tc>
          <w:tcPr>
            <w:tcW w:w="1076" w:type="dxa"/>
            <w:vMerge w:val="restart"/>
            <w:vAlign w:val="center"/>
          </w:tcPr>
          <w:p>
            <w:pPr>
              <w:spacing w:line="240" w:lineRule="auto"/>
              <w:jc w:val="center"/>
              <w:rPr>
                <w:szCs w:val="21"/>
              </w:rPr>
            </w:pPr>
            <w:r>
              <w:rPr>
                <w:rFonts w:hint="eastAsia"/>
                <w:szCs w:val="21"/>
              </w:rPr>
              <w:t>垃圾压缩车间</w:t>
            </w:r>
          </w:p>
        </w:tc>
        <w:tc>
          <w:tcPr>
            <w:tcW w:w="629" w:type="dxa"/>
            <w:vMerge w:val="restart"/>
            <w:vAlign w:val="center"/>
          </w:tcPr>
          <w:p>
            <w:pPr>
              <w:spacing w:line="240" w:lineRule="auto"/>
              <w:jc w:val="center"/>
              <w:rPr>
                <w:szCs w:val="21"/>
              </w:rPr>
            </w:pPr>
            <w:r>
              <w:rPr>
                <w:rFonts w:hint="eastAsia"/>
                <w:szCs w:val="21"/>
              </w:rPr>
              <w:t>主城区垃圾转运站</w:t>
            </w:r>
          </w:p>
        </w:tc>
        <w:tc>
          <w:tcPr>
            <w:tcW w:w="590" w:type="dxa"/>
            <w:vMerge w:val="restart"/>
            <w:vAlign w:val="center"/>
          </w:tcPr>
          <w:p>
            <w:pPr>
              <w:spacing w:line="240" w:lineRule="auto"/>
              <w:jc w:val="center"/>
              <w:rPr>
                <w:szCs w:val="21"/>
              </w:rPr>
            </w:pPr>
            <w:r>
              <w:rPr>
                <w:rFonts w:hint="eastAsia"/>
                <w:szCs w:val="21"/>
              </w:rPr>
              <w:t>无组织</w:t>
            </w:r>
          </w:p>
        </w:tc>
        <w:tc>
          <w:tcPr>
            <w:tcW w:w="1049" w:type="dxa"/>
            <w:vAlign w:val="center"/>
          </w:tcPr>
          <w:p>
            <w:pPr>
              <w:spacing w:line="360" w:lineRule="auto"/>
              <w:jc w:val="center"/>
              <w:rPr>
                <w:szCs w:val="21"/>
              </w:rPr>
            </w:pPr>
            <w:r>
              <w:rPr>
                <w:rFonts w:hint="eastAsia"/>
                <w:szCs w:val="21"/>
              </w:rPr>
              <w:t>NH</w:t>
            </w:r>
            <w:r>
              <w:rPr>
                <w:szCs w:val="21"/>
                <w:vertAlign w:val="subscript"/>
              </w:rPr>
              <w:t>3</w:t>
            </w:r>
          </w:p>
        </w:tc>
        <w:tc>
          <w:tcPr>
            <w:tcW w:w="2036" w:type="dxa"/>
            <w:gridSpan w:val="2"/>
            <w:vAlign w:val="bottom"/>
          </w:tcPr>
          <w:p>
            <w:pPr>
              <w:spacing w:line="360" w:lineRule="auto"/>
              <w:jc w:val="center"/>
              <w:rPr>
                <w:szCs w:val="21"/>
              </w:rPr>
            </w:pPr>
            <w:r>
              <w:rPr>
                <w:szCs w:val="21"/>
              </w:rPr>
              <w:t>0.1314</w:t>
            </w:r>
            <w:r>
              <w:rPr>
                <w:rFonts w:hint="eastAsia"/>
                <w:szCs w:val="21"/>
              </w:rPr>
              <w:t>t/a</w:t>
            </w:r>
          </w:p>
        </w:tc>
        <w:tc>
          <w:tcPr>
            <w:tcW w:w="1780" w:type="dxa"/>
            <w:gridSpan w:val="2"/>
            <w:vAlign w:val="bottom"/>
          </w:tcPr>
          <w:p>
            <w:pPr>
              <w:spacing w:line="360" w:lineRule="auto"/>
              <w:jc w:val="center"/>
              <w:rPr>
                <w:szCs w:val="21"/>
              </w:rPr>
            </w:pPr>
            <w:r>
              <w:rPr>
                <w:szCs w:val="21"/>
              </w:rPr>
              <w:t>0.0394</w:t>
            </w:r>
            <w:r>
              <w:rPr>
                <w:rFonts w:hint="eastAsia"/>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71" w:type="dxa"/>
            <w:vMerge w:val="continue"/>
            <w:vAlign w:val="center"/>
          </w:tcPr>
          <w:p>
            <w:pPr>
              <w:spacing w:line="360" w:lineRule="auto"/>
              <w:jc w:val="center"/>
              <w:rPr>
                <w:szCs w:val="21"/>
              </w:rPr>
            </w:pPr>
          </w:p>
        </w:tc>
        <w:tc>
          <w:tcPr>
            <w:tcW w:w="627" w:type="dxa"/>
            <w:vMerge w:val="continue"/>
            <w:vAlign w:val="center"/>
          </w:tcPr>
          <w:p>
            <w:pPr>
              <w:spacing w:line="360" w:lineRule="auto"/>
              <w:jc w:val="center"/>
              <w:rPr>
                <w:szCs w:val="21"/>
              </w:rPr>
            </w:pPr>
          </w:p>
        </w:tc>
        <w:tc>
          <w:tcPr>
            <w:tcW w:w="1076" w:type="dxa"/>
            <w:vMerge w:val="continue"/>
            <w:vAlign w:val="center"/>
          </w:tcPr>
          <w:p>
            <w:pPr>
              <w:spacing w:line="360" w:lineRule="auto"/>
              <w:jc w:val="center"/>
              <w:rPr>
                <w:szCs w:val="21"/>
              </w:rPr>
            </w:pPr>
          </w:p>
        </w:tc>
        <w:tc>
          <w:tcPr>
            <w:tcW w:w="629" w:type="dxa"/>
            <w:vMerge w:val="continue"/>
            <w:vAlign w:val="center"/>
          </w:tcPr>
          <w:p>
            <w:pPr>
              <w:spacing w:line="240" w:lineRule="auto"/>
              <w:jc w:val="center"/>
              <w:rPr>
                <w:szCs w:val="21"/>
              </w:rPr>
            </w:pPr>
          </w:p>
        </w:tc>
        <w:tc>
          <w:tcPr>
            <w:tcW w:w="590" w:type="dxa"/>
            <w:vMerge w:val="continue"/>
            <w:vAlign w:val="center"/>
          </w:tcPr>
          <w:p>
            <w:pPr>
              <w:spacing w:line="240" w:lineRule="auto"/>
              <w:jc w:val="center"/>
              <w:rPr>
                <w:szCs w:val="21"/>
              </w:rPr>
            </w:pPr>
          </w:p>
        </w:tc>
        <w:tc>
          <w:tcPr>
            <w:tcW w:w="1049" w:type="dxa"/>
            <w:vAlign w:val="center"/>
          </w:tcPr>
          <w:p>
            <w:pPr>
              <w:spacing w:line="360" w:lineRule="auto"/>
              <w:jc w:val="center"/>
              <w:rPr>
                <w:szCs w:val="21"/>
              </w:rPr>
            </w:pPr>
            <w:r>
              <w:rPr>
                <w:rFonts w:hint="eastAsia"/>
                <w:szCs w:val="21"/>
              </w:rPr>
              <w:t>H</w:t>
            </w:r>
            <w:r>
              <w:rPr>
                <w:rFonts w:hint="eastAsia"/>
                <w:szCs w:val="21"/>
                <w:vertAlign w:val="subscript"/>
              </w:rPr>
              <w:t>2</w:t>
            </w:r>
            <w:r>
              <w:rPr>
                <w:rFonts w:hint="eastAsia"/>
                <w:szCs w:val="21"/>
              </w:rPr>
              <w:t>S</w:t>
            </w:r>
          </w:p>
        </w:tc>
        <w:tc>
          <w:tcPr>
            <w:tcW w:w="2036" w:type="dxa"/>
            <w:gridSpan w:val="2"/>
            <w:vAlign w:val="center"/>
          </w:tcPr>
          <w:p>
            <w:pPr>
              <w:spacing w:line="360" w:lineRule="auto"/>
              <w:jc w:val="center"/>
              <w:rPr>
                <w:szCs w:val="21"/>
              </w:rPr>
            </w:pPr>
            <w:r>
              <w:rPr>
                <w:szCs w:val="21"/>
              </w:rPr>
              <w:t>0.0135</w:t>
            </w:r>
            <w:r>
              <w:rPr>
                <w:rFonts w:hint="eastAsia"/>
                <w:szCs w:val="21"/>
              </w:rPr>
              <w:t>t/a</w:t>
            </w:r>
          </w:p>
        </w:tc>
        <w:tc>
          <w:tcPr>
            <w:tcW w:w="1780" w:type="dxa"/>
            <w:gridSpan w:val="2"/>
            <w:vAlign w:val="center"/>
          </w:tcPr>
          <w:p>
            <w:pPr>
              <w:spacing w:line="360" w:lineRule="auto"/>
              <w:jc w:val="center"/>
              <w:rPr>
                <w:szCs w:val="21"/>
              </w:rPr>
            </w:pPr>
            <w:r>
              <w:rPr>
                <w:szCs w:val="21"/>
              </w:rPr>
              <w:t>0.0040</w:t>
            </w:r>
            <w:r>
              <w:rPr>
                <w:rFonts w:hint="eastAsia"/>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71" w:type="dxa"/>
            <w:vMerge w:val="continue"/>
            <w:vAlign w:val="center"/>
          </w:tcPr>
          <w:p>
            <w:pPr>
              <w:spacing w:line="360" w:lineRule="auto"/>
              <w:jc w:val="center"/>
              <w:rPr>
                <w:szCs w:val="21"/>
              </w:rPr>
            </w:pPr>
          </w:p>
        </w:tc>
        <w:tc>
          <w:tcPr>
            <w:tcW w:w="627" w:type="dxa"/>
            <w:vMerge w:val="continue"/>
            <w:vAlign w:val="center"/>
          </w:tcPr>
          <w:p>
            <w:pPr>
              <w:spacing w:line="360" w:lineRule="auto"/>
              <w:jc w:val="center"/>
              <w:rPr>
                <w:szCs w:val="21"/>
              </w:rPr>
            </w:pPr>
          </w:p>
        </w:tc>
        <w:tc>
          <w:tcPr>
            <w:tcW w:w="1076" w:type="dxa"/>
            <w:vMerge w:val="continue"/>
            <w:vAlign w:val="center"/>
          </w:tcPr>
          <w:p>
            <w:pPr>
              <w:spacing w:line="360" w:lineRule="auto"/>
              <w:jc w:val="center"/>
              <w:rPr>
                <w:szCs w:val="21"/>
              </w:rPr>
            </w:pPr>
          </w:p>
        </w:tc>
        <w:tc>
          <w:tcPr>
            <w:tcW w:w="629" w:type="dxa"/>
            <w:vMerge w:val="continue"/>
            <w:vAlign w:val="center"/>
          </w:tcPr>
          <w:p>
            <w:pPr>
              <w:spacing w:line="240" w:lineRule="auto"/>
              <w:jc w:val="center"/>
              <w:rPr>
                <w:szCs w:val="21"/>
              </w:rPr>
            </w:pPr>
          </w:p>
        </w:tc>
        <w:tc>
          <w:tcPr>
            <w:tcW w:w="590" w:type="dxa"/>
            <w:vMerge w:val="restart"/>
            <w:vAlign w:val="center"/>
          </w:tcPr>
          <w:p>
            <w:pPr>
              <w:spacing w:line="240" w:lineRule="auto"/>
              <w:jc w:val="center"/>
              <w:rPr>
                <w:szCs w:val="21"/>
              </w:rPr>
            </w:pPr>
            <w:r>
              <w:rPr>
                <w:rFonts w:hint="eastAsia"/>
                <w:szCs w:val="21"/>
              </w:rPr>
              <w:t>有组织</w:t>
            </w:r>
          </w:p>
        </w:tc>
        <w:tc>
          <w:tcPr>
            <w:tcW w:w="1049" w:type="dxa"/>
            <w:vAlign w:val="center"/>
          </w:tcPr>
          <w:p>
            <w:pPr>
              <w:spacing w:line="360" w:lineRule="auto"/>
              <w:jc w:val="center"/>
              <w:rPr>
                <w:szCs w:val="21"/>
              </w:rPr>
            </w:pPr>
            <w:r>
              <w:rPr>
                <w:rFonts w:hint="eastAsia"/>
                <w:szCs w:val="21"/>
              </w:rPr>
              <w:t>NH</w:t>
            </w:r>
            <w:r>
              <w:rPr>
                <w:szCs w:val="21"/>
                <w:vertAlign w:val="subscript"/>
              </w:rPr>
              <w:t>3</w:t>
            </w:r>
          </w:p>
        </w:tc>
        <w:tc>
          <w:tcPr>
            <w:tcW w:w="2036" w:type="dxa"/>
            <w:gridSpan w:val="2"/>
            <w:vAlign w:val="center"/>
          </w:tcPr>
          <w:p>
            <w:pPr>
              <w:spacing w:line="360" w:lineRule="auto"/>
              <w:jc w:val="center"/>
              <w:rPr>
                <w:szCs w:val="21"/>
              </w:rPr>
            </w:pPr>
            <w:r>
              <w:rPr>
                <w:szCs w:val="21"/>
              </w:rPr>
              <w:t>2.5222</w:t>
            </w:r>
            <w:r>
              <w:rPr>
                <w:rFonts w:hint="eastAsia"/>
                <w:szCs w:val="21"/>
              </w:rPr>
              <w:t>t/a</w:t>
            </w:r>
          </w:p>
        </w:tc>
        <w:tc>
          <w:tcPr>
            <w:tcW w:w="1780" w:type="dxa"/>
            <w:gridSpan w:val="2"/>
            <w:vAlign w:val="center"/>
          </w:tcPr>
          <w:p>
            <w:pPr>
              <w:spacing w:line="360" w:lineRule="auto"/>
              <w:jc w:val="center"/>
              <w:rPr>
                <w:szCs w:val="21"/>
              </w:rPr>
            </w:pPr>
            <w:r>
              <w:rPr>
                <w:szCs w:val="21"/>
              </w:rPr>
              <w:t>0.1260</w:t>
            </w:r>
            <w:r>
              <w:rPr>
                <w:rFonts w:hint="eastAsia"/>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1" w:type="dxa"/>
            <w:vMerge w:val="continue"/>
            <w:vAlign w:val="center"/>
          </w:tcPr>
          <w:p>
            <w:pPr>
              <w:spacing w:line="360" w:lineRule="auto"/>
              <w:jc w:val="center"/>
              <w:rPr>
                <w:szCs w:val="21"/>
              </w:rPr>
            </w:pPr>
          </w:p>
        </w:tc>
        <w:tc>
          <w:tcPr>
            <w:tcW w:w="627" w:type="dxa"/>
            <w:vMerge w:val="continue"/>
            <w:vAlign w:val="center"/>
          </w:tcPr>
          <w:p>
            <w:pPr>
              <w:spacing w:line="360" w:lineRule="auto"/>
              <w:jc w:val="center"/>
              <w:rPr>
                <w:szCs w:val="21"/>
              </w:rPr>
            </w:pPr>
          </w:p>
        </w:tc>
        <w:tc>
          <w:tcPr>
            <w:tcW w:w="1076" w:type="dxa"/>
            <w:vMerge w:val="continue"/>
            <w:vAlign w:val="center"/>
          </w:tcPr>
          <w:p>
            <w:pPr>
              <w:spacing w:line="360" w:lineRule="auto"/>
              <w:jc w:val="center"/>
              <w:rPr>
                <w:szCs w:val="21"/>
              </w:rPr>
            </w:pPr>
          </w:p>
        </w:tc>
        <w:tc>
          <w:tcPr>
            <w:tcW w:w="629" w:type="dxa"/>
            <w:vMerge w:val="continue"/>
            <w:vAlign w:val="center"/>
          </w:tcPr>
          <w:p>
            <w:pPr>
              <w:spacing w:line="240" w:lineRule="auto"/>
              <w:jc w:val="center"/>
              <w:rPr>
                <w:szCs w:val="21"/>
              </w:rPr>
            </w:pPr>
          </w:p>
        </w:tc>
        <w:tc>
          <w:tcPr>
            <w:tcW w:w="590" w:type="dxa"/>
            <w:vMerge w:val="continue"/>
            <w:vAlign w:val="center"/>
          </w:tcPr>
          <w:p>
            <w:pPr>
              <w:spacing w:line="240" w:lineRule="auto"/>
              <w:jc w:val="center"/>
              <w:rPr>
                <w:szCs w:val="21"/>
              </w:rPr>
            </w:pPr>
          </w:p>
        </w:tc>
        <w:tc>
          <w:tcPr>
            <w:tcW w:w="1049" w:type="dxa"/>
            <w:vAlign w:val="center"/>
          </w:tcPr>
          <w:p>
            <w:pPr>
              <w:spacing w:line="360" w:lineRule="auto"/>
              <w:jc w:val="center"/>
              <w:rPr>
                <w:szCs w:val="21"/>
              </w:rPr>
            </w:pPr>
            <w:r>
              <w:rPr>
                <w:rFonts w:hint="eastAsia"/>
                <w:szCs w:val="21"/>
              </w:rPr>
              <w:t>H</w:t>
            </w:r>
            <w:r>
              <w:rPr>
                <w:rFonts w:hint="eastAsia"/>
                <w:szCs w:val="21"/>
                <w:vertAlign w:val="subscript"/>
              </w:rPr>
              <w:t>2</w:t>
            </w:r>
            <w:r>
              <w:rPr>
                <w:rFonts w:hint="eastAsia"/>
                <w:szCs w:val="21"/>
              </w:rPr>
              <w:t>S</w:t>
            </w:r>
          </w:p>
        </w:tc>
        <w:tc>
          <w:tcPr>
            <w:tcW w:w="2036" w:type="dxa"/>
            <w:gridSpan w:val="2"/>
            <w:vAlign w:val="center"/>
          </w:tcPr>
          <w:p>
            <w:pPr>
              <w:spacing w:line="360" w:lineRule="auto"/>
              <w:jc w:val="center"/>
              <w:rPr>
                <w:szCs w:val="21"/>
              </w:rPr>
            </w:pPr>
            <w:r>
              <w:rPr>
                <w:szCs w:val="21"/>
              </w:rPr>
              <w:t>0.2570</w:t>
            </w:r>
            <w:r>
              <w:rPr>
                <w:rFonts w:hint="eastAsia"/>
                <w:szCs w:val="21"/>
              </w:rPr>
              <w:t>t/a</w:t>
            </w:r>
          </w:p>
        </w:tc>
        <w:tc>
          <w:tcPr>
            <w:tcW w:w="1780" w:type="dxa"/>
            <w:gridSpan w:val="2"/>
            <w:vAlign w:val="center"/>
          </w:tcPr>
          <w:p>
            <w:pPr>
              <w:spacing w:line="360" w:lineRule="auto"/>
              <w:jc w:val="center"/>
              <w:rPr>
                <w:szCs w:val="21"/>
              </w:rPr>
            </w:pPr>
            <w:r>
              <w:rPr>
                <w:szCs w:val="21"/>
              </w:rPr>
              <w:t>0.0128</w:t>
            </w:r>
            <w:r>
              <w:rPr>
                <w:rFonts w:hint="eastAsia"/>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671" w:type="dxa"/>
            <w:vMerge w:val="continue"/>
            <w:vAlign w:val="center"/>
          </w:tcPr>
          <w:p>
            <w:pPr>
              <w:spacing w:line="360" w:lineRule="auto"/>
              <w:jc w:val="center"/>
              <w:rPr>
                <w:szCs w:val="21"/>
              </w:rPr>
            </w:pPr>
          </w:p>
        </w:tc>
        <w:tc>
          <w:tcPr>
            <w:tcW w:w="627" w:type="dxa"/>
            <w:vMerge w:val="continue"/>
            <w:vAlign w:val="center"/>
          </w:tcPr>
          <w:p>
            <w:pPr>
              <w:spacing w:line="360" w:lineRule="auto"/>
              <w:jc w:val="center"/>
              <w:rPr>
                <w:szCs w:val="21"/>
              </w:rPr>
            </w:pPr>
          </w:p>
        </w:tc>
        <w:tc>
          <w:tcPr>
            <w:tcW w:w="1076" w:type="dxa"/>
            <w:vMerge w:val="continue"/>
            <w:vAlign w:val="center"/>
          </w:tcPr>
          <w:p>
            <w:pPr>
              <w:spacing w:line="360" w:lineRule="auto"/>
              <w:jc w:val="center"/>
              <w:rPr>
                <w:szCs w:val="21"/>
              </w:rPr>
            </w:pPr>
          </w:p>
        </w:tc>
        <w:tc>
          <w:tcPr>
            <w:tcW w:w="629" w:type="dxa"/>
            <w:vMerge w:val="restart"/>
            <w:vAlign w:val="center"/>
          </w:tcPr>
          <w:p>
            <w:pPr>
              <w:spacing w:line="240" w:lineRule="auto"/>
              <w:jc w:val="center"/>
              <w:rPr>
                <w:szCs w:val="21"/>
              </w:rPr>
            </w:pPr>
            <w:r>
              <w:rPr>
                <w:rFonts w:hint="eastAsia"/>
                <w:szCs w:val="21"/>
              </w:rPr>
              <w:t>寿王坟镇垃圾转运站</w:t>
            </w:r>
          </w:p>
        </w:tc>
        <w:tc>
          <w:tcPr>
            <w:tcW w:w="590" w:type="dxa"/>
            <w:vMerge w:val="restart"/>
            <w:vAlign w:val="center"/>
          </w:tcPr>
          <w:p>
            <w:pPr>
              <w:spacing w:line="240" w:lineRule="auto"/>
              <w:jc w:val="center"/>
              <w:rPr>
                <w:szCs w:val="21"/>
              </w:rPr>
            </w:pPr>
            <w:r>
              <w:rPr>
                <w:rFonts w:hint="eastAsia"/>
                <w:szCs w:val="21"/>
              </w:rPr>
              <w:t>无组织</w:t>
            </w:r>
          </w:p>
        </w:tc>
        <w:tc>
          <w:tcPr>
            <w:tcW w:w="1049" w:type="dxa"/>
            <w:vAlign w:val="center"/>
          </w:tcPr>
          <w:p>
            <w:pPr>
              <w:spacing w:line="360" w:lineRule="auto"/>
              <w:jc w:val="center"/>
              <w:rPr>
                <w:szCs w:val="21"/>
              </w:rPr>
            </w:pPr>
            <w:r>
              <w:rPr>
                <w:rFonts w:hint="eastAsia"/>
                <w:szCs w:val="21"/>
              </w:rPr>
              <w:t>NH</w:t>
            </w:r>
            <w:r>
              <w:rPr>
                <w:szCs w:val="21"/>
                <w:vertAlign w:val="subscript"/>
              </w:rPr>
              <w:t>3</w:t>
            </w:r>
          </w:p>
        </w:tc>
        <w:tc>
          <w:tcPr>
            <w:tcW w:w="2036" w:type="dxa"/>
            <w:gridSpan w:val="2"/>
            <w:vAlign w:val="center"/>
          </w:tcPr>
          <w:p>
            <w:pPr>
              <w:spacing w:line="360" w:lineRule="auto"/>
              <w:jc w:val="center"/>
              <w:rPr>
                <w:szCs w:val="21"/>
              </w:rPr>
            </w:pPr>
            <w:r>
              <w:rPr>
                <w:szCs w:val="21"/>
              </w:rPr>
              <w:t>0.0219</w:t>
            </w:r>
            <w:r>
              <w:rPr>
                <w:rFonts w:hint="eastAsia"/>
                <w:szCs w:val="21"/>
              </w:rPr>
              <w:t>t/a</w:t>
            </w:r>
          </w:p>
        </w:tc>
        <w:tc>
          <w:tcPr>
            <w:tcW w:w="1780" w:type="dxa"/>
            <w:gridSpan w:val="2"/>
            <w:vAlign w:val="center"/>
          </w:tcPr>
          <w:p>
            <w:pPr>
              <w:spacing w:line="360" w:lineRule="auto"/>
              <w:jc w:val="center"/>
              <w:rPr>
                <w:szCs w:val="21"/>
              </w:rPr>
            </w:pPr>
            <w:r>
              <w:rPr>
                <w:szCs w:val="21"/>
              </w:rPr>
              <w:t>0.0066</w:t>
            </w:r>
            <w:r>
              <w:rPr>
                <w:rFonts w:hint="eastAsia"/>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671" w:type="dxa"/>
            <w:vMerge w:val="continue"/>
            <w:vAlign w:val="center"/>
          </w:tcPr>
          <w:p>
            <w:pPr>
              <w:spacing w:line="360" w:lineRule="auto"/>
              <w:jc w:val="center"/>
              <w:rPr>
                <w:szCs w:val="21"/>
              </w:rPr>
            </w:pPr>
          </w:p>
        </w:tc>
        <w:tc>
          <w:tcPr>
            <w:tcW w:w="627" w:type="dxa"/>
            <w:vMerge w:val="continue"/>
            <w:vAlign w:val="center"/>
          </w:tcPr>
          <w:p>
            <w:pPr>
              <w:spacing w:line="360" w:lineRule="auto"/>
              <w:jc w:val="center"/>
              <w:rPr>
                <w:szCs w:val="21"/>
              </w:rPr>
            </w:pPr>
          </w:p>
        </w:tc>
        <w:tc>
          <w:tcPr>
            <w:tcW w:w="1076" w:type="dxa"/>
            <w:vMerge w:val="continue"/>
            <w:vAlign w:val="center"/>
          </w:tcPr>
          <w:p>
            <w:pPr>
              <w:spacing w:line="360" w:lineRule="auto"/>
              <w:jc w:val="center"/>
              <w:rPr>
                <w:szCs w:val="21"/>
              </w:rPr>
            </w:pPr>
          </w:p>
        </w:tc>
        <w:tc>
          <w:tcPr>
            <w:tcW w:w="629" w:type="dxa"/>
            <w:vMerge w:val="continue"/>
            <w:vAlign w:val="center"/>
          </w:tcPr>
          <w:p>
            <w:pPr>
              <w:spacing w:line="360" w:lineRule="auto"/>
              <w:jc w:val="center"/>
              <w:rPr>
                <w:szCs w:val="21"/>
              </w:rPr>
            </w:pPr>
          </w:p>
        </w:tc>
        <w:tc>
          <w:tcPr>
            <w:tcW w:w="590" w:type="dxa"/>
            <w:vMerge w:val="continue"/>
            <w:vAlign w:val="center"/>
          </w:tcPr>
          <w:p>
            <w:pPr>
              <w:spacing w:line="240" w:lineRule="auto"/>
              <w:jc w:val="center"/>
              <w:rPr>
                <w:szCs w:val="21"/>
              </w:rPr>
            </w:pPr>
          </w:p>
        </w:tc>
        <w:tc>
          <w:tcPr>
            <w:tcW w:w="1049" w:type="dxa"/>
            <w:vAlign w:val="center"/>
          </w:tcPr>
          <w:p>
            <w:pPr>
              <w:spacing w:line="360" w:lineRule="auto"/>
              <w:jc w:val="center"/>
              <w:rPr>
                <w:szCs w:val="21"/>
              </w:rPr>
            </w:pPr>
            <w:r>
              <w:rPr>
                <w:rFonts w:hint="eastAsia"/>
                <w:szCs w:val="21"/>
              </w:rPr>
              <w:t>H</w:t>
            </w:r>
            <w:r>
              <w:rPr>
                <w:rFonts w:hint="eastAsia"/>
                <w:szCs w:val="21"/>
                <w:vertAlign w:val="subscript"/>
              </w:rPr>
              <w:t>2</w:t>
            </w:r>
            <w:r>
              <w:rPr>
                <w:rFonts w:hint="eastAsia"/>
                <w:szCs w:val="21"/>
              </w:rPr>
              <w:t>S</w:t>
            </w:r>
          </w:p>
        </w:tc>
        <w:tc>
          <w:tcPr>
            <w:tcW w:w="2036" w:type="dxa"/>
            <w:gridSpan w:val="2"/>
            <w:vAlign w:val="center"/>
          </w:tcPr>
          <w:p>
            <w:pPr>
              <w:spacing w:line="360" w:lineRule="auto"/>
              <w:jc w:val="center"/>
              <w:rPr>
                <w:szCs w:val="21"/>
              </w:rPr>
            </w:pPr>
            <w:r>
              <w:rPr>
                <w:szCs w:val="21"/>
              </w:rPr>
              <w:t>0.0022</w:t>
            </w:r>
            <w:r>
              <w:rPr>
                <w:rFonts w:hint="eastAsia"/>
                <w:szCs w:val="21"/>
              </w:rPr>
              <w:t xml:space="preserve"> /a</w:t>
            </w:r>
          </w:p>
        </w:tc>
        <w:tc>
          <w:tcPr>
            <w:tcW w:w="1780" w:type="dxa"/>
            <w:gridSpan w:val="2"/>
            <w:vAlign w:val="center"/>
          </w:tcPr>
          <w:p>
            <w:pPr>
              <w:spacing w:line="360" w:lineRule="auto"/>
              <w:jc w:val="center"/>
              <w:rPr>
                <w:szCs w:val="21"/>
              </w:rPr>
            </w:pPr>
            <w:r>
              <w:rPr>
                <w:szCs w:val="21"/>
              </w:rPr>
              <w:t>0.0007</w:t>
            </w:r>
            <w:r>
              <w:rPr>
                <w:rFonts w:hint="eastAsia"/>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671" w:type="dxa"/>
            <w:vMerge w:val="continue"/>
            <w:vAlign w:val="center"/>
          </w:tcPr>
          <w:p>
            <w:pPr>
              <w:spacing w:line="360" w:lineRule="auto"/>
              <w:jc w:val="center"/>
              <w:rPr>
                <w:szCs w:val="21"/>
              </w:rPr>
            </w:pPr>
          </w:p>
        </w:tc>
        <w:tc>
          <w:tcPr>
            <w:tcW w:w="627" w:type="dxa"/>
            <w:vMerge w:val="continue"/>
            <w:vAlign w:val="center"/>
          </w:tcPr>
          <w:p>
            <w:pPr>
              <w:spacing w:line="360" w:lineRule="auto"/>
              <w:jc w:val="center"/>
              <w:rPr>
                <w:szCs w:val="21"/>
              </w:rPr>
            </w:pPr>
          </w:p>
        </w:tc>
        <w:tc>
          <w:tcPr>
            <w:tcW w:w="1076" w:type="dxa"/>
            <w:vMerge w:val="continue"/>
            <w:vAlign w:val="center"/>
          </w:tcPr>
          <w:p>
            <w:pPr>
              <w:spacing w:line="360" w:lineRule="auto"/>
              <w:jc w:val="center"/>
              <w:rPr>
                <w:szCs w:val="21"/>
              </w:rPr>
            </w:pPr>
          </w:p>
        </w:tc>
        <w:tc>
          <w:tcPr>
            <w:tcW w:w="629" w:type="dxa"/>
            <w:vMerge w:val="continue"/>
            <w:vAlign w:val="center"/>
          </w:tcPr>
          <w:p>
            <w:pPr>
              <w:spacing w:line="360" w:lineRule="auto"/>
              <w:jc w:val="center"/>
              <w:rPr>
                <w:szCs w:val="21"/>
              </w:rPr>
            </w:pPr>
          </w:p>
        </w:tc>
        <w:tc>
          <w:tcPr>
            <w:tcW w:w="590" w:type="dxa"/>
            <w:vMerge w:val="restart"/>
            <w:vAlign w:val="center"/>
          </w:tcPr>
          <w:p>
            <w:pPr>
              <w:spacing w:line="240" w:lineRule="auto"/>
              <w:jc w:val="center"/>
              <w:rPr>
                <w:szCs w:val="21"/>
              </w:rPr>
            </w:pPr>
            <w:r>
              <w:rPr>
                <w:rFonts w:hint="eastAsia"/>
                <w:szCs w:val="21"/>
              </w:rPr>
              <w:t>有组织</w:t>
            </w:r>
          </w:p>
        </w:tc>
        <w:tc>
          <w:tcPr>
            <w:tcW w:w="1049" w:type="dxa"/>
            <w:vAlign w:val="center"/>
          </w:tcPr>
          <w:p>
            <w:pPr>
              <w:spacing w:line="360" w:lineRule="auto"/>
              <w:jc w:val="center"/>
              <w:rPr>
                <w:szCs w:val="21"/>
              </w:rPr>
            </w:pPr>
            <w:r>
              <w:rPr>
                <w:rFonts w:hint="eastAsia"/>
                <w:szCs w:val="21"/>
              </w:rPr>
              <w:t>NH</w:t>
            </w:r>
            <w:r>
              <w:rPr>
                <w:szCs w:val="21"/>
                <w:vertAlign w:val="subscript"/>
              </w:rPr>
              <w:t>3</w:t>
            </w:r>
          </w:p>
        </w:tc>
        <w:tc>
          <w:tcPr>
            <w:tcW w:w="2036" w:type="dxa"/>
            <w:gridSpan w:val="2"/>
            <w:vAlign w:val="center"/>
          </w:tcPr>
          <w:p>
            <w:pPr>
              <w:spacing w:line="360" w:lineRule="auto"/>
              <w:jc w:val="center"/>
              <w:rPr>
                <w:szCs w:val="21"/>
              </w:rPr>
            </w:pPr>
            <w:r>
              <w:rPr>
                <w:szCs w:val="21"/>
              </w:rPr>
              <w:t>0.4201</w:t>
            </w:r>
            <w:r>
              <w:rPr>
                <w:rFonts w:hint="eastAsia"/>
                <w:szCs w:val="21"/>
              </w:rPr>
              <w:t>t/a</w:t>
            </w:r>
          </w:p>
        </w:tc>
        <w:tc>
          <w:tcPr>
            <w:tcW w:w="1780" w:type="dxa"/>
            <w:gridSpan w:val="2"/>
            <w:vAlign w:val="center"/>
          </w:tcPr>
          <w:p>
            <w:pPr>
              <w:spacing w:line="360" w:lineRule="auto"/>
              <w:jc w:val="center"/>
              <w:rPr>
                <w:szCs w:val="21"/>
              </w:rPr>
            </w:pPr>
            <w:r>
              <w:rPr>
                <w:szCs w:val="21"/>
              </w:rPr>
              <w:t>0.0212</w:t>
            </w:r>
            <w:r>
              <w:rPr>
                <w:rFonts w:hint="eastAsia"/>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671" w:type="dxa"/>
            <w:vMerge w:val="continue"/>
            <w:vAlign w:val="center"/>
          </w:tcPr>
          <w:p>
            <w:pPr>
              <w:spacing w:line="360" w:lineRule="auto"/>
              <w:jc w:val="center"/>
              <w:rPr>
                <w:szCs w:val="21"/>
              </w:rPr>
            </w:pPr>
          </w:p>
        </w:tc>
        <w:tc>
          <w:tcPr>
            <w:tcW w:w="627" w:type="dxa"/>
            <w:vMerge w:val="continue"/>
            <w:vAlign w:val="center"/>
          </w:tcPr>
          <w:p>
            <w:pPr>
              <w:spacing w:line="360" w:lineRule="auto"/>
              <w:jc w:val="center"/>
              <w:rPr>
                <w:szCs w:val="21"/>
              </w:rPr>
            </w:pPr>
          </w:p>
        </w:tc>
        <w:tc>
          <w:tcPr>
            <w:tcW w:w="1076" w:type="dxa"/>
            <w:vMerge w:val="continue"/>
            <w:vAlign w:val="center"/>
          </w:tcPr>
          <w:p>
            <w:pPr>
              <w:spacing w:line="360" w:lineRule="auto"/>
              <w:jc w:val="center"/>
              <w:rPr>
                <w:szCs w:val="21"/>
              </w:rPr>
            </w:pPr>
          </w:p>
        </w:tc>
        <w:tc>
          <w:tcPr>
            <w:tcW w:w="629" w:type="dxa"/>
            <w:vMerge w:val="continue"/>
            <w:vAlign w:val="center"/>
          </w:tcPr>
          <w:p>
            <w:pPr>
              <w:spacing w:line="360" w:lineRule="auto"/>
              <w:jc w:val="center"/>
              <w:rPr>
                <w:szCs w:val="21"/>
              </w:rPr>
            </w:pPr>
          </w:p>
        </w:tc>
        <w:tc>
          <w:tcPr>
            <w:tcW w:w="590" w:type="dxa"/>
            <w:vMerge w:val="continue"/>
            <w:vAlign w:val="center"/>
          </w:tcPr>
          <w:p>
            <w:pPr>
              <w:spacing w:line="360" w:lineRule="auto"/>
              <w:jc w:val="center"/>
              <w:rPr>
                <w:szCs w:val="21"/>
              </w:rPr>
            </w:pPr>
          </w:p>
        </w:tc>
        <w:tc>
          <w:tcPr>
            <w:tcW w:w="1049" w:type="dxa"/>
            <w:vAlign w:val="center"/>
          </w:tcPr>
          <w:p>
            <w:pPr>
              <w:spacing w:line="360" w:lineRule="auto"/>
              <w:jc w:val="center"/>
              <w:rPr>
                <w:szCs w:val="21"/>
              </w:rPr>
            </w:pPr>
            <w:r>
              <w:rPr>
                <w:rFonts w:hint="eastAsia"/>
                <w:szCs w:val="21"/>
              </w:rPr>
              <w:t>H</w:t>
            </w:r>
            <w:r>
              <w:rPr>
                <w:rFonts w:hint="eastAsia"/>
                <w:szCs w:val="21"/>
                <w:vertAlign w:val="subscript"/>
              </w:rPr>
              <w:t>2</w:t>
            </w:r>
            <w:r>
              <w:rPr>
                <w:rFonts w:hint="eastAsia"/>
                <w:szCs w:val="21"/>
              </w:rPr>
              <w:t>S</w:t>
            </w:r>
          </w:p>
        </w:tc>
        <w:tc>
          <w:tcPr>
            <w:tcW w:w="2036" w:type="dxa"/>
            <w:gridSpan w:val="2"/>
            <w:vAlign w:val="center"/>
          </w:tcPr>
          <w:p>
            <w:pPr>
              <w:spacing w:line="360" w:lineRule="auto"/>
              <w:jc w:val="center"/>
              <w:rPr>
                <w:szCs w:val="21"/>
              </w:rPr>
            </w:pPr>
            <w:r>
              <w:rPr>
                <w:szCs w:val="21"/>
              </w:rPr>
              <w:t>0.042</w:t>
            </w:r>
            <w:r>
              <w:rPr>
                <w:rFonts w:hint="eastAsia"/>
                <w:szCs w:val="21"/>
              </w:rPr>
              <w:t xml:space="preserve"> t/a</w:t>
            </w:r>
          </w:p>
        </w:tc>
        <w:tc>
          <w:tcPr>
            <w:tcW w:w="1780" w:type="dxa"/>
            <w:gridSpan w:val="2"/>
            <w:vAlign w:val="center"/>
          </w:tcPr>
          <w:p>
            <w:pPr>
              <w:spacing w:line="360" w:lineRule="auto"/>
              <w:jc w:val="center"/>
              <w:rPr>
                <w:szCs w:val="21"/>
              </w:rPr>
            </w:pPr>
            <w:r>
              <w:rPr>
                <w:szCs w:val="21"/>
              </w:rPr>
              <w:t>0.0022</w:t>
            </w:r>
            <w:r>
              <w:rPr>
                <w:rFonts w:hint="eastAsia"/>
                <w:szCs w:val="21"/>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671" w:type="dxa"/>
            <w:vMerge w:val="continue"/>
            <w:vAlign w:val="center"/>
          </w:tcPr>
          <w:p>
            <w:pPr>
              <w:spacing w:line="360" w:lineRule="auto"/>
              <w:jc w:val="center"/>
              <w:rPr>
                <w:szCs w:val="21"/>
              </w:rPr>
            </w:pPr>
          </w:p>
        </w:tc>
        <w:tc>
          <w:tcPr>
            <w:tcW w:w="627" w:type="dxa"/>
            <w:vMerge w:val="continue"/>
            <w:vAlign w:val="center"/>
          </w:tcPr>
          <w:p>
            <w:pPr>
              <w:spacing w:line="360" w:lineRule="auto"/>
              <w:jc w:val="center"/>
              <w:rPr>
                <w:szCs w:val="21"/>
              </w:rPr>
            </w:pPr>
          </w:p>
        </w:tc>
        <w:tc>
          <w:tcPr>
            <w:tcW w:w="1076" w:type="dxa"/>
            <w:vAlign w:val="center"/>
          </w:tcPr>
          <w:p>
            <w:pPr>
              <w:spacing w:line="240" w:lineRule="auto"/>
              <w:jc w:val="center"/>
              <w:rPr>
                <w:szCs w:val="21"/>
              </w:rPr>
            </w:pPr>
            <w:r>
              <w:rPr>
                <w:rFonts w:hint="eastAsia"/>
                <w:szCs w:val="21"/>
              </w:rPr>
              <w:t>道路运输扬尘</w:t>
            </w:r>
          </w:p>
        </w:tc>
        <w:tc>
          <w:tcPr>
            <w:tcW w:w="2268" w:type="dxa"/>
            <w:gridSpan w:val="3"/>
            <w:vAlign w:val="center"/>
          </w:tcPr>
          <w:p>
            <w:pPr>
              <w:spacing w:line="360" w:lineRule="auto"/>
              <w:jc w:val="center"/>
              <w:rPr>
                <w:szCs w:val="21"/>
              </w:rPr>
            </w:pPr>
            <w:r>
              <w:rPr>
                <w:rFonts w:hint="eastAsia"/>
                <w:szCs w:val="21"/>
              </w:rPr>
              <w:t>粉尘</w:t>
            </w:r>
          </w:p>
        </w:tc>
        <w:tc>
          <w:tcPr>
            <w:tcW w:w="3810" w:type="dxa"/>
            <w:gridSpan w:val="3"/>
            <w:vAlign w:val="center"/>
          </w:tcPr>
          <w:p>
            <w:pPr>
              <w:spacing w:line="360" w:lineRule="auto"/>
              <w:jc w:val="center"/>
              <w:rPr>
                <w:szCs w:val="21"/>
              </w:rPr>
            </w:pPr>
            <w:r>
              <w:rPr>
                <w:szCs w:val="21"/>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671" w:type="dxa"/>
            <w:vMerge w:val="continue"/>
            <w:vAlign w:val="center"/>
          </w:tcPr>
          <w:p>
            <w:pPr>
              <w:spacing w:line="360" w:lineRule="auto"/>
              <w:jc w:val="center"/>
              <w:rPr>
                <w:szCs w:val="21"/>
              </w:rPr>
            </w:pPr>
          </w:p>
        </w:tc>
        <w:tc>
          <w:tcPr>
            <w:tcW w:w="627" w:type="dxa"/>
            <w:vMerge w:val="continue"/>
            <w:vAlign w:val="center"/>
          </w:tcPr>
          <w:p>
            <w:pPr>
              <w:spacing w:line="360" w:lineRule="auto"/>
              <w:jc w:val="center"/>
              <w:rPr>
                <w:szCs w:val="21"/>
              </w:rPr>
            </w:pPr>
          </w:p>
        </w:tc>
        <w:tc>
          <w:tcPr>
            <w:tcW w:w="1076" w:type="dxa"/>
            <w:vAlign w:val="center"/>
          </w:tcPr>
          <w:p>
            <w:pPr>
              <w:spacing w:line="240" w:lineRule="auto"/>
              <w:jc w:val="center"/>
              <w:rPr>
                <w:szCs w:val="21"/>
              </w:rPr>
            </w:pPr>
            <w:r>
              <w:rPr>
                <w:rFonts w:hint="eastAsia"/>
                <w:szCs w:val="21"/>
              </w:rPr>
              <w:t>淋浴餐厅</w:t>
            </w:r>
          </w:p>
        </w:tc>
        <w:tc>
          <w:tcPr>
            <w:tcW w:w="2268" w:type="dxa"/>
            <w:gridSpan w:val="3"/>
            <w:vAlign w:val="center"/>
          </w:tcPr>
          <w:p>
            <w:pPr>
              <w:spacing w:line="360" w:lineRule="auto"/>
              <w:jc w:val="center"/>
              <w:rPr>
                <w:szCs w:val="21"/>
              </w:rPr>
            </w:pPr>
            <w:r>
              <w:rPr>
                <w:rFonts w:hint="eastAsia"/>
                <w:szCs w:val="21"/>
              </w:rPr>
              <w:t>油烟</w:t>
            </w:r>
          </w:p>
        </w:tc>
        <w:tc>
          <w:tcPr>
            <w:tcW w:w="3810" w:type="dxa"/>
            <w:gridSpan w:val="3"/>
            <w:vAlign w:val="center"/>
          </w:tcPr>
          <w:p>
            <w:pPr>
              <w:widowControl/>
              <w:adjustRightInd/>
              <w:spacing w:line="240" w:lineRule="auto"/>
              <w:jc w:val="center"/>
              <w:textAlignment w:val="auto"/>
              <w:rPr>
                <w:szCs w:val="21"/>
              </w:rPr>
            </w:pPr>
            <w:r>
              <w:rPr>
                <w:szCs w:val="21"/>
              </w:rPr>
              <w:t>0.0012</w:t>
            </w:r>
            <w:r>
              <w:rPr>
                <w:rFonts w:hint="eastAsia"/>
                <w:szCs w:val="21"/>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672" w:hRule="atLeast"/>
          <w:jc w:val="center"/>
        </w:trPr>
        <w:tc>
          <w:tcPr>
            <w:tcW w:w="671" w:type="dxa"/>
            <w:vMerge w:val="restart"/>
            <w:vAlign w:val="center"/>
          </w:tcPr>
          <w:p>
            <w:pPr>
              <w:spacing w:line="360" w:lineRule="auto"/>
              <w:jc w:val="center"/>
              <w:rPr>
                <w:b/>
                <w:szCs w:val="21"/>
              </w:rPr>
            </w:pPr>
            <w:r>
              <w:rPr>
                <w:rFonts w:hint="eastAsia"/>
                <w:b/>
                <w:szCs w:val="21"/>
              </w:rPr>
              <w:t>水污染物</w:t>
            </w:r>
          </w:p>
        </w:tc>
        <w:tc>
          <w:tcPr>
            <w:tcW w:w="627" w:type="dxa"/>
            <w:vMerge w:val="restart"/>
            <w:vAlign w:val="center"/>
          </w:tcPr>
          <w:p>
            <w:pPr>
              <w:spacing w:line="360" w:lineRule="auto"/>
              <w:jc w:val="center"/>
              <w:rPr>
                <w:szCs w:val="21"/>
              </w:rPr>
            </w:pPr>
            <w:r>
              <w:rPr>
                <w:rFonts w:hint="eastAsia"/>
                <w:szCs w:val="21"/>
              </w:rPr>
              <w:t>施工期</w:t>
            </w:r>
          </w:p>
        </w:tc>
        <w:tc>
          <w:tcPr>
            <w:tcW w:w="1076" w:type="dxa"/>
            <w:vAlign w:val="center"/>
          </w:tcPr>
          <w:p>
            <w:pPr>
              <w:spacing w:line="240" w:lineRule="auto"/>
              <w:jc w:val="center"/>
              <w:rPr>
                <w:szCs w:val="21"/>
              </w:rPr>
            </w:pPr>
            <w:r>
              <w:rPr>
                <w:rFonts w:hint="eastAsia"/>
                <w:szCs w:val="21"/>
              </w:rPr>
              <w:t>施工废水</w:t>
            </w:r>
          </w:p>
        </w:tc>
        <w:tc>
          <w:tcPr>
            <w:tcW w:w="2268" w:type="dxa"/>
            <w:gridSpan w:val="3"/>
            <w:vAlign w:val="center"/>
          </w:tcPr>
          <w:p>
            <w:pPr>
              <w:spacing w:line="360" w:lineRule="auto"/>
              <w:jc w:val="center"/>
              <w:rPr>
                <w:szCs w:val="21"/>
              </w:rPr>
            </w:pPr>
            <w:r>
              <w:rPr>
                <w:rFonts w:hint="eastAsia"/>
                <w:szCs w:val="21"/>
              </w:rPr>
              <w:t>石油类、SS</w:t>
            </w:r>
          </w:p>
        </w:tc>
        <w:tc>
          <w:tcPr>
            <w:tcW w:w="1738" w:type="dxa"/>
            <w:vAlign w:val="center"/>
          </w:tcPr>
          <w:p>
            <w:pPr>
              <w:spacing w:line="360" w:lineRule="auto"/>
              <w:jc w:val="center"/>
              <w:rPr>
                <w:szCs w:val="21"/>
              </w:rPr>
            </w:pPr>
            <w:r>
              <w:rPr>
                <w:rFonts w:hint="eastAsia"/>
                <w:szCs w:val="21"/>
              </w:rPr>
              <w:t>少量</w:t>
            </w:r>
          </w:p>
        </w:tc>
        <w:tc>
          <w:tcPr>
            <w:tcW w:w="2072" w:type="dxa"/>
            <w:gridSpan w:val="2"/>
            <w:vAlign w:val="center"/>
          </w:tcPr>
          <w:p>
            <w:pPr>
              <w:spacing w:line="360" w:lineRule="auto"/>
              <w:jc w:val="center"/>
              <w:rPr>
                <w:szCs w:val="21"/>
              </w:rPr>
            </w:pPr>
            <w:r>
              <w:rPr>
                <w:rFonts w:hint="eastAsia"/>
                <w:szCs w:val="21"/>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671" w:type="dxa"/>
            <w:vMerge w:val="continue"/>
            <w:vAlign w:val="center"/>
          </w:tcPr>
          <w:p>
            <w:pPr>
              <w:spacing w:line="360" w:lineRule="auto"/>
              <w:jc w:val="center"/>
              <w:rPr>
                <w:szCs w:val="21"/>
              </w:rPr>
            </w:pPr>
          </w:p>
        </w:tc>
        <w:tc>
          <w:tcPr>
            <w:tcW w:w="627" w:type="dxa"/>
            <w:vMerge w:val="continue"/>
            <w:vAlign w:val="center"/>
          </w:tcPr>
          <w:p>
            <w:pPr>
              <w:spacing w:line="360" w:lineRule="auto"/>
              <w:jc w:val="center"/>
              <w:rPr>
                <w:szCs w:val="21"/>
              </w:rPr>
            </w:pPr>
          </w:p>
        </w:tc>
        <w:tc>
          <w:tcPr>
            <w:tcW w:w="1076" w:type="dxa"/>
            <w:vMerge w:val="restart"/>
            <w:vAlign w:val="center"/>
          </w:tcPr>
          <w:p>
            <w:pPr>
              <w:spacing w:line="240" w:lineRule="auto"/>
              <w:jc w:val="center"/>
              <w:rPr>
                <w:szCs w:val="21"/>
              </w:rPr>
            </w:pPr>
            <w:r>
              <w:rPr>
                <w:rFonts w:hint="eastAsia"/>
                <w:szCs w:val="21"/>
              </w:rPr>
              <w:t>生活污水</w:t>
            </w:r>
          </w:p>
        </w:tc>
        <w:tc>
          <w:tcPr>
            <w:tcW w:w="2268" w:type="dxa"/>
            <w:gridSpan w:val="3"/>
            <w:vAlign w:val="center"/>
          </w:tcPr>
          <w:p>
            <w:pPr>
              <w:spacing w:line="360" w:lineRule="auto"/>
              <w:jc w:val="center"/>
              <w:rPr>
                <w:szCs w:val="21"/>
              </w:rPr>
            </w:pPr>
            <w:r>
              <w:rPr>
                <w:rFonts w:hint="eastAsia"/>
                <w:szCs w:val="21"/>
              </w:rPr>
              <w:t>COD</w:t>
            </w:r>
            <w:r>
              <w:rPr>
                <w:rFonts w:hint="eastAsia"/>
                <w:szCs w:val="21"/>
                <w:vertAlign w:val="subscript"/>
              </w:rPr>
              <w:t>cr</w:t>
            </w:r>
            <w:r>
              <w:rPr>
                <w:rFonts w:hint="eastAsia"/>
                <w:szCs w:val="21"/>
              </w:rPr>
              <w:t>（4</w:t>
            </w:r>
            <w:r>
              <w:rPr>
                <w:szCs w:val="21"/>
              </w:rPr>
              <w:t>00</w:t>
            </w:r>
            <w:r>
              <w:rPr>
                <w:rFonts w:hint="eastAsia"/>
                <w:szCs w:val="21"/>
              </w:rPr>
              <w:t>mg</w:t>
            </w:r>
            <w:r>
              <w:rPr>
                <w:szCs w:val="21"/>
              </w:rPr>
              <w:t>/</w:t>
            </w:r>
            <w:r>
              <w:rPr>
                <w:rFonts w:hint="eastAsia"/>
                <w:szCs w:val="21"/>
              </w:rPr>
              <w:t>L）</w:t>
            </w:r>
          </w:p>
        </w:tc>
        <w:tc>
          <w:tcPr>
            <w:tcW w:w="1738" w:type="dxa"/>
            <w:vAlign w:val="bottom"/>
          </w:tcPr>
          <w:p>
            <w:pPr>
              <w:spacing w:line="360" w:lineRule="auto"/>
              <w:jc w:val="center"/>
              <w:rPr>
                <w:szCs w:val="21"/>
              </w:rPr>
            </w:pPr>
            <w:r>
              <w:rPr>
                <w:szCs w:val="21"/>
              </w:rPr>
              <w:t>0.00128t/a</w:t>
            </w:r>
          </w:p>
        </w:tc>
        <w:tc>
          <w:tcPr>
            <w:tcW w:w="2072" w:type="dxa"/>
            <w:gridSpan w:val="2"/>
            <w:vAlign w:val="bottom"/>
          </w:tcPr>
          <w:p>
            <w:pPr>
              <w:spacing w:line="360" w:lineRule="auto"/>
              <w:jc w:val="center"/>
              <w:rPr>
                <w:szCs w:val="21"/>
              </w:rPr>
            </w:pPr>
            <w:r>
              <w:rPr>
                <w:szCs w:val="21"/>
              </w:rPr>
              <w:t>0.00128t/a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671" w:type="dxa"/>
            <w:vMerge w:val="continue"/>
            <w:vAlign w:val="center"/>
          </w:tcPr>
          <w:p>
            <w:pPr>
              <w:spacing w:line="360" w:lineRule="auto"/>
              <w:jc w:val="center"/>
              <w:rPr>
                <w:szCs w:val="21"/>
              </w:rPr>
            </w:pPr>
          </w:p>
        </w:tc>
        <w:tc>
          <w:tcPr>
            <w:tcW w:w="627" w:type="dxa"/>
            <w:vMerge w:val="continue"/>
            <w:vAlign w:val="center"/>
          </w:tcPr>
          <w:p>
            <w:pPr>
              <w:spacing w:line="360" w:lineRule="auto"/>
              <w:jc w:val="center"/>
              <w:rPr>
                <w:szCs w:val="21"/>
              </w:rPr>
            </w:pPr>
          </w:p>
        </w:tc>
        <w:tc>
          <w:tcPr>
            <w:tcW w:w="1076" w:type="dxa"/>
            <w:vMerge w:val="continue"/>
            <w:vAlign w:val="center"/>
          </w:tcPr>
          <w:p>
            <w:pPr>
              <w:spacing w:line="360" w:lineRule="auto"/>
              <w:jc w:val="center"/>
              <w:rPr>
                <w:szCs w:val="21"/>
              </w:rPr>
            </w:pPr>
          </w:p>
        </w:tc>
        <w:tc>
          <w:tcPr>
            <w:tcW w:w="2268" w:type="dxa"/>
            <w:gridSpan w:val="3"/>
            <w:vAlign w:val="center"/>
          </w:tcPr>
          <w:p>
            <w:pPr>
              <w:spacing w:line="360" w:lineRule="auto"/>
              <w:jc w:val="center"/>
              <w:rPr>
                <w:szCs w:val="21"/>
              </w:rPr>
            </w:pPr>
            <w:r>
              <w:rPr>
                <w:rFonts w:hint="eastAsia"/>
                <w:szCs w:val="21"/>
              </w:rPr>
              <w:t>BOD</w:t>
            </w:r>
            <w:r>
              <w:rPr>
                <w:szCs w:val="21"/>
                <w:vertAlign w:val="subscript"/>
              </w:rPr>
              <w:t>5</w:t>
            </w:r>
            <w:r>
              <w:rPr>
                <w:rFonts w:hint="eastAsia"/>
                <w:szCs w:val="21"/>
              </w:rPr>
              <w:t>（2</w:t>
            </w:r>
            <w:r>
              <w:rPr>
                <w:szCs w:val="21"/>
              </w:rPr>
              <w:t>00</w:t>
            </w:r>
            <w:r>
              <w:rPr>
                <w:rFonts w:hint="eastAsia"/>
                <w:szCs w:val="21"/>
              </w:rPr>
              <w:t>mg</w:t>
            </w:r>
            <w:r>
              <w:rPr>
                <w:szCs w:val="21"/>
              </w:rPr>
              <w:t>/</w:t>
            </w:r>
            <w:r>
              <w:rPr>
                <w:rFonts w:hint="eastAsia"/>
                <w:szCs w:val="21"/>
              </w:rPr>
              <w:t>L）</w:t>
            </w:r>
          </w:p>
        </w:tc>
        <w:tc>
          <w:tcPr>
            <w:tcW w:w="1738" w:type="dxa"/>
            <w:vAlign w:val="bottom"/>
          </w:tcPr>
          <w:p>
            <w:pPr>
              <w:spacing w:line="360" w:lineRule="auto"/>
              <w:jc w:val="center"/>
              <w:rPr>
                <w:szCs w:val="21"/>
              </w:rPr>
            </w:pPr>
            <w:r>
              <w:rPr>
                <w:szCs w:val="21"/>
              </w:rPr>
              <w:t>0.00064t/a</w:t>
            </w:r>
          </w:p>
        </w:tc>
        <w:tc>
          <w:tcPr>
            <w:tcW w:w="2072" w:type="dxa"/>
            <w:gridSpan w:val="2"/>
            <w:vAlign w:val="bottom"/>
          </w:tcPr>
          <w:p>
            <w:pPr>
              <w:spacing w:line="360" w:lineRule="auto"/>
              <w:jc w:val="center"/>
              <w:rPr>
                <w:szCs w:val="21"/>
              </w:rPr>
            </w:pPr>
            <w:r>
              <w:rPr>
                <w:szCs w:val="21"/>
              </w:rPr>
              <w:t>0.00064t/a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671" w:type="dxa"/>
            <w:vMerge w:val="continue"/>
            <w:vAlign w:val="center"/>
          </w:tcPr>
          <w:p>
            <w:pPr>
              <w:spacing w:line="360" w:lineRule="auto"/>
              <w:jc w:val="center"/>
              <w:rPr>
                <w:szCs w:val="21"/>
              </w:rPr>
            </w:pPr>
          </w:p>
        </w:tc>
        <w:tc>
          <w:tcPr>
            <w:tcW w:w="627" w:type="dxa"/>
            <w:vMerge w:val="continue"/>
            <w:vAlign w:val="center"/>
          </w:tcPr>
          <w:p>
            <w:pPr>
              <w:spacing w:line="360" w:lineRule="auto"/>
              <w:jc w:val="center"/>
              <w:rPr>
                <w:szCs w:val="21"/>
              </w:rPr>
            </w:pPr>
          </w:p>
        </w:tc>
        <w:tc>
          <w:tcPr>
            <w:tcW w:w="1076" w:type="dxa"/>
            <w:vMerge w:val="continue"/>
            <w:vAlign w:val="center"/>
          </w:tcPr>
          <w:p>
            <w:pPr>
              <w:spacing w:line="360" w:lineRule="auto"/>
              <w:jc w:val="center"/>
              <w:rPr>
                <w:szCs w:val="21"/>
              </w:rPr>
            </w:pPr>
          </w:p>
        </w:tc>
        <w:tc>
          <w:tcPr>
            <w:tcW w:w="2268" w:type="dxa"/>
            <w:gridSpan w:val="3"/>
            <w:vAlign w:val="center"/>
          </w:tcPr>
          <w:p>
            <w:pPr>
              <w:spacing w:line="360" w:lineRule="auto"/>
              <w:jc w:val="center"/>
              <w:rPr>
                <w:szCs w:val="21"/>
              </w:rPr>
            </w:pPr>
            <w:r>
              <w:rPr>
                <w:rFonts w:hint="eastAsia"/>
                <w:szCs w:val="21"/>
              </w:rPr>
              <w:t>SS（2</w:t>
            </w:r>
            <w:r>
              <w:rPr>
                <w:szCs w:val="21"/>
              </w:rPr>
              <w:t>20</w:t>
            </w:r>
            <w:r>
              <w:rPr>
                <w:rFonts w:hint="eastAsia"/>
                <w:szCs w:val="21"/>
              </w:rPr>
              <w:t>mg</w:t>
            </w:r>
            <w:r>
              <w:rPr>
                <w:szCs w:val="21"/>
              </w:rPr>
              <w:t>/</w:t>
            </w:r>
            <w:r>
              <w:rPr>
                <w:rFonts w:hint="eastAsia"/>
                <w:szCs w:val="21"/>
              </w:rPr>
              <w:t>L）</w:t>
            </w:r>
          </w:p>
        </w:tc>
        <w:tc>
          <w:tcPr>
            <w:tcW w:w="1738" w:type="dxa"/>
            <w:vAlign w:val="bottom"/>
          </w:tcPr>
          <w:p>
            <w:pPr>
              <w:spacing w:line="360" w:lineRule="auto"/>
              <w:jc w:val="center"/>
              <w:rPr>
                <w:szCs w:val="21"/>
              </w:rPr>
            </w:pPr>
            <w:r>
              <w:rPr>
                <w:szCs w:val="21"/>
              </w:rPr>
              <w:t>0.0008t/a</w:t>
            </w:r>
          </w:p>
        </w:tc>
        <w:tc>
          <w:tcPr>
            <w:tcW w:w="2072" w:type="dxa"/>
            <w:gridSpan w:val="2"/>
            <w:vAlign w:val="bottom"/>
          </w:tcPr>
          <w:p>
            <w:pPr>
              <w:spacing w:line="360" w:lineRule="auto"/>
              <w:jc w:val="center"/>
              <w:rPr>
                <w:szCs w:val="21"/>
              </w:rPr>
            </w:pPr>
            <w:r>
              <w:rPr>
                <w:szCs w:val="21"/>
              </w:rPr>
              <w:t>0.0008t/a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671" w:type="dxa"/>
            <w:vMerge w:val="continue"/>
            <w:vAlign w:val="center"/>
          </w:tcPr>
          <w:p>
            <w:pPr>
              <w:spacing w:line="360" w:lineRule="auto"/>
              <w:jc w:val="center"/>
              <w:rPr>
                <w:szCs w:val="21"/>
              </w:rPr>
            </w:pPr>
          </w:p>
        </w:tc>
        <w:tc>
          <w:tcPr>
            <w:tcW w:w="627" w:type="dxa"/>
            <w:vMerge w:val="continue"/>
            <w:vAlign w:val="center"/>
          </w:tcPr>
          <w:p>
            <w:pPr>
              <w:spacing w:line="360" w:lineRule="auto"/>
              <w:jc w:val="center"/>
              <w:rPr>
                <w:szCs w:val="21"/>
              </w:rPr>
            </w:pPr>
          </w:p>
        </w:tc>
        <w:tc>
          <w:tcPr>
            <w:tcW w:w="1076" w:type="dxa"/>
            <w:vMerge w:val="continue"/>
            <w:vAlign w:val="center"/>
          </w:tcPr>
          <w:p>
            <w:pPr>
              <w:spacing w:line="360" w:lineRule="auto"/>
              <w:jc w:val="center"/>
              <w:rPr>
                <w:szCs w:val="21"/>
              </w:rPr>
            </w:pPr>
          </w:p>
        </w:tc>
        <w:tc>
          <w:tcPr>
            <w:tcW w:w="2268" w:type="dxa"/>
            <w:gridSpan w:val="3"/>
            <w:vAlign w:val="center"/>
          </w:tcPr>
          <w:p>
            <w:pPr>
              <w:spacing w:line="360" w:lineRule="auto"/>
              <w:jc w:val="center"/>
              <w:rPr>
                <w:szCs w:val="21"/>
              </w:rPr>
            </w:pPr>
            <w:r>
              <w:rPr>
                <w:rFonts w:hint="eastAsia"/>
                <w:szCs w:val="21"/>
              </w:rPr>
              <w:t>NH</w:t>
            </w:r>
            <w:r>
              <w:rPr>
                <w:szCs w:val="21"/>
                <w:vertAlign w:val="subscript"/>
              </w:rPr>
              <w:t>3</w:t>
            </w:r>
            <w:r>
              <w:rPr>
                <w:szCs w:val="21"/>
              </w:rPr>
              <w:t>-</w:t>
            </w:r>
            <w:r>
              <w:rPr>
                <w:rFonts w:hint="eastAsia"/>
                <w:szCs w:val="21"/>
              </w:rPr>
              <w:t>N（2</w:t>
            </w:r>
            <w:r>
              <w:rPr>
                <w:szCs w:val="21"/>
              </w:rPr>
              <w:t>5</w:t>
            </w:r>
            <w:r>
              <w:rPr>
                <w:rFonts w:hint="eastAsia"/>
                <w:szCs w:val="21"/>
              </w:rPr>
              <w:t>mg</w:t>
            </w:r>
            <w:r>
              <w:rPr>
                <w:szCs w:val="21"/>
              </w:rPr>
              <w:t>/</w:t>
            </w:r>
            <w:r>
              <w:rPr>
                <w:rFonts w:hint="eastAsia"/>
                <w:szCs w:val="21"/>
              </w:rPr>
              <w:t>L）</w:t>
            </w:r>
          </w:p>
        </w:tc>
        <w:tc>
          <w:tcPr>
            <w:tcW w:w="1738" w:type="dxa"/>
            <w:vAlign w:val="bottom"/>
          </w:tcPr>
          <w:p>
            <w:pPr>
              <w:spacing w:line="360" w:lineRule="auto"/>
              <w:jc w:val="center"/>
              <w:rPr>
                <w:szCs w:val="21"/>
              </w:rPr>
            </w:pPr>
            <w:r>
              <w:rPr>
                <w:szCs w:val="21"/>
              </w:rPr>
              <w:t>0.00008t/a</w:t>
            </w:r>
          </w:p>
        </w:tc>
        <w:tc>
          <w:tcPr>
            <w:tcW w:w="2072" w:type="dxa"/>
            <w:gridSpan w:val="2"/>
            <w:vAlign w:val="bottom"/>
          </w:tcPr>
          <w:p>
            <w:pPr>
              <w:spacing w:line="360" w:lineRule="auto"/>
              <w:jc w:val="center"/>
              <w:rPr>
                <w:szCs w:val="21"/>
              </w:rPr>
            </w:pPr>
            <w:r>
              <w:rPr>
                <w:szCs w:val="21"/>
              </w:rPr>
              <w:t>0.00008t/a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671" w:type="dxa"/>
            <w:vMerge w:val="continue"/>
            <w:vAlign w:val="center"/>
          </w:tcPr>
          <w:p>
            <w:pPr>
              <w:spacing w:line="360" w:lineRule="auto"/>
              <w:jc w:val="center"/>
              <w:rPr>
                <w:szCs w:val="21"/>
              </w:rPr>
            </w:pPr>
          </w:p>
        </w:tc>
        <w:tc>
          <w:tcPr>
            <w:tcW w:w="627" w:type="dxa"/>
            <w:vMerge w:val="restart"/>
            <w:vAlign w:val="center"/>
          </w:tcPr>
          <w:p>
            <w:pPr>
              <w:spacing w:line="360" w:lineRule="auto"/>
              <w:jc w:val="center"/>
              <w:rPr>
                <w:szCs w:val="21"/>
              </w:rPr>
            </w:pPr>
            <w:r>
              <w:rPr>
                <w:rFonts w:hint="eastAsia"/>
                <w:szCs w:val="21"/>
              </w:rPr>
              <w:t>运营期</w:t>
            </w:r>
          </w:p>
        </w:tc>
        <w:tc>
          <w:tcPr>
            <w:tcW w:w="1076" w:type="dxa"/>
            <w:vMerge w:val="restart"/>
            <w:vAlign w:val="center"/>
          </w:tcPr>
          <w:p>
            <w:pPr>
              <w:spacing w:line="240" w:lineRule="auto"/>
              <w:jc w:val="center"/>
              <w:rPr>
                <w:szCs w:val="21"/>
              </w:rPr>
            </w:pPr>
            <w:r>
              <w:rPr>
                <w:rFonts w:hint="eastAsia"/>
                <w:szCs w:val="21"/>
              </w:rPr>
              <w:t>主城区转运站废水</w:t>
            </w:r>
          </w:p>
        </w:tc>
        <w:tc>
          <w:tcPr>
            <w:tcW w:w="2268" w:type="dxa"/>
            <w:gridSpan w:val="3"/>
            <w:vMerge w:val="restart"/>
            <w:vAlign w:val="center"/>
          </w:tcPr>
          <w:p>
            <w:pPr>
              <w:spacing w:line="360" w:lineRule="auto"/>
              <w:jc w:val="center"/>
              <w:rPr>
                <w:szCs w:val="21"/>
              </w:rPr>
            </w:pPr>
            <w:r>
              <w:rPr>
                <w:rFonts w:hint="eastAsia"/>
                <w:szCs w:val="21"/>
              </w:rPr>
              <w:t>COD</w:t>
            </w:r>
            <w:r>
              <w:rPr>
                <w:rFonts w:hint="eastAsia"/>
                <w:szCs w:val="21"/>
                <w:vertAlign w:val="subscript"/>
              </w:rPr>
              <w:t>cr</w:t>
            </w:r>
            <w:r>
              <w:rPr>
                <w:rFonts w:hint="eastAsia"/>
                <w:szCs w:val="21"/>
              </w:rPr>
              <w:t>（</w:t>
            </w:r>
            <w:r>
              <w:rPr>
                <w:szCs w:val="21"/>
              </w:rPr>
              <w:t>7000</w:t>
            </w:r>
            <w:r>
              <w:rPr>
                <w:rFonts w:hint="eastAsia"/>
                <w:szCs w:val="21"/>
              </w:rPr>
              <w:t>mg</w:t>
            </w:r>
            <w:r>
              <w:rPr>
                <w:szCs w:val="21"/>
              </w:rPr>
              <w:t>/</w:t>
            </w:r>
            <w:r>
              <w:rPr>
                <w:rFonts w:hint="eastAsia"/>
                <w:szCs w:val="21"/>
              </w:rPr>
              <w:t>L）</w:t>
            </w:r>
          </w:p>
          <w:p>
            <w:pPr>
              <w:spacing w:line="360" w:lineRule="auto"/>
              <w:jc w:val="center"/>
              <w:rPr>
                <w:szCs w:val="21"/>
              </w:rPr>
            </w:pPr>
            <w:r>
              <w:rPr>
                <w:rFonts w:hint="eastAsia"/>
                <w:szCs w:val="21"/>
              </w:rPr>
              <w:t>BOD</w:t>
            </w:r>
            <w:r>
              <w:rPr>
                <w:szCs w:val="21"/>
                <w:vertAlign w:val="subscript"/>
              </w:rPr>
              <w:t>5</w:t>
            </w:r>
            <w:r>
              <w:rPr>
                <w:rFonts w:hint="eastAsia"/>
                <w:szCs w:val="21"/>
              </w:rPr>
              <w:t>（</w:t>
            </w:r>
            <w:r>
              <w:rPr>
                <w:szCs w:val="21"/>
              </w:rPr>
              <w:t>3500</w:t>
            </w:r>
            <w:r>
              <w:rPr>
                <w:rFonts w:hint="eastAsia"/>
                <w:szCs w:val="21"/>
              </w:rPr>
              <w:t>mg</w:t>
            </w:r>
            <w:r>
              <w:rPr>
                <w:szCs w:val="21"/>
              </w:rPr>
              <w:t>/</w:t>
            </w:r>
            <w:r>
              <w:rPr>
                <w:rFonts w:hint="eastAsia"/>
                <w:szCs w:val="21"/>
              </w:rPr>
              <w:t>L）</w:t>
            </w:r>
          </w:p>
          <w:p>
            <w:pPr>
              <w:spacing w:line="360" w:lineRule="auto"/>
              <w:jc w:val="center"/>
              <w:rPr>
                <w:szCs w:val="21"/>
              </w:rPr>
            </w:pPr>
            <w:r>
              <w:rPr>
                <w:rFonts w:hint="eastAsia"/>
                <w:szCs w:val="21"/>
              </w:rPr>
              <w:t>SS（</w:t>
            </w:r>
            <w:r>
              <w:rPr>
                <w:szCs w:val="21"/>
              </w:rPr>
              <w:t>600</w:t>
            </w:r>
            <w:r>
              <w:rPr>
                <w:rFonts w:hint="eastAsia"/>
                <w:szCs w:val="21"/>
              </w:rPr>
              <w:t>mg</w:t>
            </w:r>
            <w:r>
              <w:rPr>
                <w:szCs w:val="21"/>
              </w:rPr>
              <w:t>/</w:t>
            </w:r>
            <w:r>
              <w:rPr>
                <w:rFonts w:hint="eastAsia"/>
                <w:szCs w:val="21"/>
              </w:rPr>
              <w:t>L）</w:t>
            </w:r>
          </w:p>
          <w:p>
            <w:pPr>
              <w:spacing w:line="360" w:lineRule="auto"/>
              <w:jc w:val="center"/>
              <w:rPr>
                <w:szCs w:val="21"/>
              </w:rPr>
            </w:pPr>
            <w:r>
              <w:rPr>
                <w:rFonts w:hint="eastAsia"/>
                <w:szCs w:val="21"/>
              </w:rPr>
              <w:t>NH</w:t>
            </w:r>
            <w:r>
              <w:rPr>
                <w:szCs w:val="21"/>
                <w:vertAlign w:val="subscript"/>
              </w:rPr>
              <w:t>3</w:t>
            </w:r>
            <w:r>
              <w:rPr>
                <w:szCs w:val="21"/>
              </w:rPr>
              <w:t>-</w:t>
            </w:r>
            <w:r>
              <w:rPr>
                <w:rFonts w:hint="eastAsia"/>
                <w:szCs w:val="21"/>
              </w:rPr>
              <w:t>N（</w:t>
            </w:r>
            <w:r>
              <w:rPr>
                <w:szCs w:val="21"/>
              </w:rPr>
              <w:t>200</w:t>
            </w:r>
            <w:r>
              <w:rPr>
                <w:rFonts w:hint="eastAsia"/>
                <w:szCs w:val="21"/>
              </w:rPr>
              <w:t>mg</w:t>
            </w:r>
            <w:r>
              <w:rPr>
                <w:szCs w:val="21"/>
              </w:rPr>
              <w:t>/</w:t>
            </w:r>
            <w:r>
              <w:rPr>
                <w:rFonts w:hint="eastAsia"/>
                <w:szCs w:val="21"/>
              </w:rPr>
              <w:t>L）</w:t>
            </w:r>
          </w:p>
        </w:tc>
        <w:tc>
          <w:tcPr>
            <w:tcW w:w="1738" w:type="dxa"/>
            <w:vAlign w:val="bottom"/>
          </w:tcPr>
          <w:p>
            <w:pPr>
              <w:spacing w:line="360" w:lineRule="auto"/>
              <w:jc w:val="center"/>
              <w:rPr>
                <w:szCs w:val="21"/>
              </w:rPr>
            </w:pPr>
            <w:r>
              <w:rPr>
                <w:szCs w:val="21"/>
              </w:rPr>
              <w:t>0.01027t/a</w:t>
            </w:r>
          </w:p>
        </w:tc>
        <w:tc>
          <w:tcPr>
            <w:tcW w:w="2072" w:type="dxa"/>
            <w:gridSpan w:val="2"/>
            <w:vAlign w:val="bottom"/>
          </w:tcPr>
          <w:p>
            <w:pPr>
              <w:spacing w:line="360" w:lineRule="auto"/>
              <w:jc w:val="center"/>
              <w:rPr>
                <w:szCs w:val="21"/>
              </w:rPr>
            </w:pPr>
            <w:r>
              <w:rPr>
                <w:szCs w:val="21"/>
              </w:rPr>
              <w:t>0.00205t/a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671" w:type="dxa"/>
            <w:vMerge w:val="continue"/>
            <w:vAlign w:val="center"/>
          </w:tcPr>
          <w:p>
            <w:pPr>
              <w:spacing w:line="360" w:lineRule="auto"/>
              <w:jc w:val="center"/>
              <w:rPr>
                <w:szCs w:val="21"/>
              </w:rPr>
            </w:pPr>
          </w:p>
        </w:tc>
        <w:tc>
          <w:tcPr>
            <w:tcW w:w="627" w:type="dxa"/>
            <w:vMerge w:val="continue"/>
            <w:vAlign w:val="center"/>
          </w:tcPr>
          <w:p>
            <w:pPr>
              <w:spacing w:line="360" w:lineRule="auto"/>
              <w:jc w:val="center"/>
              <w:rPr>
                <w:szCs w:val="21"/>
              </w:rPr>
            </w:pPr>
          </w:p>
        </w:tc>
        <w:tc>
          <w:tcPr>
            <w:tcW w:w="1076" w:type="dxa"/>
            <w:vMerge w:val="continue"/>
            <w:vAlign w:val="center"/>
          </w:tcPr>
          <w:p>
            <w:pPr>
              <w:spacing w:line="360" w:lineRule="auto"/>
              <w:jc w:val="center"/>
              <w:rPr>
                <w:szCs w:val="21"/>
              </w:rPr>
            </w:pPr>
          </w:p>
        </w:tc>
        <w:tc>
          <w:tcPr>
            <w:tcW w:w="2268" w:type="dxa"/>
            <w:gridSpan w:val="3"/>
            <w:vMerge w:val="continue"/>
            <w:vAlign w:val="center"/>
          </w:tcPr>
          <w:p>
            <w:pPr>
              <w:spacing w:line="360" w:lineRule="auto"/>
              <w:jc w:val="center"/>
              <w:rPr>
                <w:szCs w:val="21"/>
              </w:rPr>
            </w:pPr>
          </w:p>
        </w:tc>
        <w:tc>
          <w:tcPr>
            <w:tcW w:w="1738" w:type="dxa"/>
            <w:vAlign w:val="bottom"/>
          </w:tcPr>
          <w:p>
            <w:pPr>
              <w:spacing w:line="360" w:lineRule="auto"/>
              <w:jc w:val="center"/>
              <w:rPr>
                <w:szCs w:val="21"/>
              </w:rPr>
            </w:pPr>
            <w:r>
              <w:rPr>
                <w:szCs w:val="21"/>
              </w:rPr>
              <w:t>0.00513t/a</w:t>
            </w:r>
          </w:p>
        </w:tc>
        <w:tc>
          <w:tcPr>
            <w:tcW w:w="2072" w:type="dxa"/>
            <w:gridSpan w:val="2"/>
            <w:vAlign w:val="bottom"/>
          </w:tcPr>
          <w:p>
            <w:pPr>
              <w:spacing w:line="360" w:lineRule="auto"/>
              <w:jc w:val="center"/>
              <w:rPr>
                <w:szCs w:val="21"/>
              </w:rPr>
            </w:pPr>
            <w:r>
              <w:rPr>
                <w:szCs w:val="21"/>
              </w:rPr>
              <w:t>0.001027t/a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671" w:type="dxa"/>
            <w:vMerge w:val="continue"/>
            <w:vAlign w:val="center"/>
          </w:tcPr>
          <w:p>
            <w:pPr>
              <w:spacing w:line="360" w:lineRule="auto"/>
              <w:jc w:val="center"/>
              <w:rPr>
                <w:szCs w:val="21"/>
              </w:rPr>
            </w:pPr>
          </w:p>
        </w:tc>
        <w:tc>
          <w:tcPr>
            <w:tcW w:w="627" w:type="dxa"/>
            <w:vMerge w:val="continue"/>
            <w:vAlign w:val="center"/>
          </w:tcPr>
          <w:p>
            <w:pPr>
              <w:spacing w:line="360" w:lineRule="auto"/>
              <w:jc w:val="center"/>
              <w:rPr>
                <w:szCs w:val="21"/>
              </w:rPr>
            </w:pPr>
          </w:p>
        </w:tc>
        <w:tc>
          <w:tcPr>
            <w:tcW w:w="1076" w:type="dxa"/>
            <w:vMerge w:val="continue"/>
            <w:vAlign w:val="center"/>
          </w:tcPr>
          <w:p>
            <w:pPr>
              <w:spacing w:line="360" w:lineRule="auto"/>
              <w:jc w:val="center"/>
              <w:rPr>
                <w:szCs w:val="21"/>
              </w:rPr>
            </w:pPr>
          </w:p>
        </w:tc>
        <w:tc>
          <w:tcPr>
            <w:tcW w:w="2268" w:type="dxa"/>
            <w:gridSpan w:val="3"/>
            <w:vMerge w:val="continue"/>
            <w:vAlign w:val="center"/>
          </w:tcPr>
          <w:p>
            <w:pPr>
              <w:spacing w:line="360" w:lineRule="auto"/>
              <w:jc w:val="center"/>
              <w:rPr>
                <w:szCs w:val="21"/>
              </w:rPr>
            </w:pPr>
          </w:p>
        </w:tc>
        <w:tc>
          <w:tcPr>
            <w:tcW w:w="1738" w:type="dxa"/>
            <w:vAlign w:val="bottom"/>
          </w:tcPr>
          <w:p>
            <w:pPr>
              <w:spacing w:line="360" w:lineRule="auto"/>
              <w:jc w:val="center"/>
              <w:rPr>
                <w:szCs w:val="21"/>
              </w:rPr>
            </w:pPr>
            <w:r>
              <w:rPr>
                <w:szCs w:val="21"/>
              </w:rPr>
              <w:t>0.00088t/a</w:t>
            </w:r>
          </w:p>
        </w:tc>
        <w:tc>
          <w:tcPr>
            <w:tcW w:w="2072" w:type="dxa"/>
            <w:gridSpan w:val="2"/>
            <w:vAlign w:val="bottom"/>
          </w:tcPr>
          <w:p>
            <w:pPr>
              <w:spacing w:line="360" w:lineRule="auto"/>
              <w:jc w:val="center"/>
              <w:rPr>
                <w:szCs w:val="21"/>
              </w:rPr>
            </w:pPr>
            <w:r>
              <w:rPr>
                <w:szCs w:val="21"/>
              </w:rPr>
              <w:t>0.00018t/a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671" w:type="dxa"/>
            <w:vMerge w:val="continue"/>
            <w:vAlign w:val="center"/>
          </w:tcPr>
          <w:p>
            <w:pPr>
              <w:spacing w:line="360" w:lineRule="auto"/>
              <w:jc w:val="center"/>
              <w:rPr>
                <w:szCs w:val="21"/>
              </w:rPr>
            </w:pPr>
          </w:p>
        </w:tc>
        <w:tc>
          <w:tcPr>
            <w:tcW w:w="627" w:type="dxa"/>
            <w:vMerge w:val="continue"/>
            <w:vAlign w:val="center"/>
          </w:tcPr>
          <w:p>
            <w:pPr>
              <w:spacing w:line="360" w:lineRule="auto"/>
              <w:jc w:val="center"/>
              <w:rPr>
                <w:szCs w:val="21"/>
              </w:rPr>
            </w:pPr>
          </w:p>
        </w:tc>
        <w:tc>
          <w:tcPr>
            <w:tcW w:w="1076" w:type="dxa"/>
            <w:vMerge w:val="continue"/>
            <w:vAlign w:val="center"/>
          </w:tcPr>
          <w:p>
            <w:pPr>
              <w:spacing w:line="360" w:lineRule="auto"/>
              <w:jc w:val="center"/>
              <w:rPr>
                <w:szCs w:val="21"/>
              </w:rPr>
            </w:pPr>
          </w:p>
        </w:tc>
        <w:tc>
          <w:tcPr>
            <w:tcW w:w="2268" w:type="dxa"/>
            <w:gridSpan w:val="3"/>
            <w:vMerge w:val="continue"/>
            <w:vAlign w:val="center"/>
          </w:tcPr>
          <w:p>
            <w:pPr>
              <w:spacing w:line="360" w:lineRule="auto"/>
              <w:jc w:val="center"/>
              <w:rPr>
                <w:szCs w:val="21"/>
              </w:rPr>
            </w:pPr>
          </w:p>
        </w:tc>
        <w:tc>
          <w:tcPr>
            <w:tcW w:w="1738" w:type="dxa"/>
            <w:vAlign w:val="bottom"/>
          </w:tcPr>
          <w:p>
            <w:pPr>
              <w:spacing w:line="360" w:lineRule="auto"/>
              <w:jc w:val="center"/>
              <w:rPr>
                <w:szCs w:val="21"/>
              </w:rPr>
            </w:pPr>
            <w:r>
              <w:rPr>
                <w:szCs w:val="21"/>
              </w:rPr>
              <w:t>0.00029t/a</w:t>
            </w:r>
          </w:p>
        </w:tc>
        <w:tc>
          <w:tcPr>
            <w:tcW w:w="2072" w:type="dxa"/>
            <w:gridSpan w:val="2"/>
            <w:vAlign w:val="bottom"/>
          </w:tcPr>
          <w:p>
            <w:pPr>
              <w:spacing w:line="360" w:lineRule="auto"/>
              <w:jc w:val="center"/>
              <w:rPr>
                <w:szCs w:val="21"/>
              </w:rPr>
            </w:pPr>
            <w:r>
              <w:rPr>
                <w:szCs w:val="21"/>
              </w:rPr>
              <w:t>0.000059t/a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671" w:type="dxa"/>
            <w:vMerge w:val="continue"/>
            <w:vAlign w:val="center"/>
          </w:tcPr>
          <w:p>
            <w:pPr>
              <w:spacing w:line="360" w:lineRule="auto"/>
              <w:jc w:val="center"/>
              <w:rPr>
                <w:szCs w:val="21"/>
              </w:rPr>
            </w:pPr>
          </w:p>
        </w:tc>
        <w:tc>
          <w:tcPr>
            <w:tcW w:w="627" w:type="dxa"/>
            <w:vMerge w:val="continue"/>
            <w:vAlign w:val="center"/>
          </w:tcPr>
          <w:p>
            <w:pPr>
              <w:spacing w:line="360" w:lineRule="auto"/>
              <w:jc w:val="center"/>
              <w:rPr>
                <w:szCs w:val="21"/>
              </w:rPr>
            </w:pPr>
          </w:p>
        </w:tc>
        <w:tc>
          <w:tcPr>
            <w:tcW w:w="1076" w:type="dxa"/>
            <w:vMerge w:val="restart"/>
            <w:vAlign w:val="center"/>
          </w:tcPr>
          <w:p>
            <w:pPr>
              <w:spacing w:line="240" w:lineRule="auto"/>
              <w:jc w:val="center"/>
              <w:rPr>
                <w:szCs w:val="21"/>
              </w:rPr>
            </w:pPr>
            <w:r>
              <w:rPr>
                <w:rFonts w:hint="eastAsia"/>
                <w:szCs w:val="21"/>
              </w:rPr>
              <w:t>寿王坟转运站废水</w:t>
            </w:r>
          </w:p>
        </w:tc>
        <w:tc>
          <w:tcPr>
            <w:tcW w:w="2268" w:type="dxa"/>
            <w:gridSpan w:val="3"/>
            <w:vMerge w:val="restart"/>
            <w:vAlign w:val="center"/>
          </w:tcPr>
          <w:p>
            <w:pPr>
              <w:spacing w:line="360" w:lineRule="auto"/>
              <w:jc w:val="center"/>
              <w:rPr>
                <w:szCs w:val="21"/>
              </w:rPr>
            </w:pPr>
            <w:r>
              <w:rPr>
                <w:rFonts w:hint="eastAsia"/>
                <w:szCs w:val="21"/>
              </w:rPr>
              <w:t>COD</w:t>
            </w:r>
            <w:r>
              <w:rPr>
                <w:rFonts w:hint="eastAsia"/>
                <w:szCs w:val="21"/>
                <w:vertAlign w:val="subscript"/>
              </w:rPr>
              <w:t>cr</w:t>
            </w:r>
            <w:r>
              <w:rPr>
                <w:rFonts w:hint="eastAsia"/>
                <w:szCs w:val="21"/>
              </w:rPr>
              <w:t>（</w:t>
            </w:r>
            <w:r>
              <w:rPr>
                <w:szCs w:val="21"/>
              </w:rPr>
              <w:t>7000</w:t>
            </w:r>
            <w:r>
              <w:rPr>
                <w:rFonts w:hint="eastAsia"/>
                <w:szCs w:val="21"/>
              </w:rPr>
              <w:t>mg</w:t>
            </w:r>
            <w:r>
              <w:rPr>
                <w:szCs w:val="21"/>
              </w:rPr>
              <w:t>/</w:t>
            </w:r>
            <w:r>
              <w:rPr>
                <w:rFonts w:hint="eastAsia"/>
                <w:szCs w:val="21"/>
              </w:rPr>
              <w:t>L）</w:t>
            </w:r>
          </w:p>
          <w:p>
            <w:pPr>
              <w:spacing w:line="360" w:lineRule="auto"/>
              <w:jc w:val="center"/>
              <w:rPr>
                <w:szCs w:val="21"/>
              </w:rPr>
            </w:pPr>
            <w:r>
              <w:rPr>
                <w:rFonts w:hint="eastAsia"/>
                <w:szCs w:val="21"/>
              </w:rPr>
              <w:t>BOD</w:t>
            </w:r>
            <w:r>
              <w:rPr>
                <w:szCs w:val="21"/>
                <w:vertAlign w:val="subscript"/>
              </w:rPr>
              <w:t>5</w:t>
            </w:r>
            <w:r>
              <w:rPr>
                <w:rFonts w:hint="eastAsia"/>
                <w:szCs w:val="21"/>
              </w:rPr>
              <w:t>（</w:t>
            </w:r>
            <w:r>
              <w:rPr>
                <w:szCs w:val="21"/>
              </w:rPr>
              <w:t>3500</w:t>
            </w:r>
            <w:r>
              <w:rPr>
                <w:rFonts w:hint="eastAsia"/>
                <w:szCs w:val="21"/>
              </w:rPr>
              <w:t>mg</w:t>
            </w:r>
            <w:r>
              <w:rPr>
                <w:szCs w:val="21"/>
              </w:rPr>
              <w:t>/</w:t>
            </w:r>
            <w:r>
              <w:rPr>
                <w:rFonts w:hint="eastAsia"/>
                <w:szCs w:val="21"/>
              </w:rPr>
              <w:t>L）</w:t>
            </w:r>
          </w:p>
          <w:p>
            <w:pPr>
              <w:spacing w:line="360" w:lineRule="auto"/>
              <w:jc w:val="center"/>
              <w:rPr>
                <w:szCs w:val="21"/>
              </w:rPr>
            </w:pPr>
            <w:r>
              <w:rPr>
                <w:rFonts w:hint="eastAsia"/>
                <w:szCs w:val="21"/>
              </w:rPr>
              <w:t>SS（</w:t>
            </w:r>
            <w:r>
              <w:rPr>
                <w:szCs w:val="21"/>
              </w:rPr>
              <w:t>600</w:t>
            </w:r>
            <w:r>
              <w:rPr>
                <w:rFonts w:hint="eastAsia"/>
                <w:szCs w:val="21"/>
              </w:rPr>
              <w:t>mg</w:t>
            </w:r>
            <w:r>
              <w:rPr>
                <w:szCs w:val="21"/>
              </w:rPr>
              <w:t>/</w:t>
            </w:r>
            <w:r>
              <w:rPr>
                <w:rFonts w:hint="eastAsia"/>
                <w:szCs w:val="21"/>
              </w:rPr>
              <w:t>L）</w:t>
            </w:r>
          </w:p>
          <w:p>
            <w:pPr>
              <w:spacing w:line="360" w:lineRule="auto"/>
              <w:jc w:val="center"/>
              <w:rPr>
                <w:szCs w:val="21"/>
              </w:rPr>
            </w:pPr>
            <w:r>
              <w:rPr>
                <w:rFonts w:hint="eastAsia"/>
                <w:szCs w:val="21"/>
              </w:rPr>
              <w:t>NH</w:t>
            </w:r>
            <w:r>
              <w:rPr>
                <w:szCs w:val="21"/>
                <w:vertAlign w:val="subscript"/>
              </w:rPr>
              <w:t>3</w:t>
            </w:r>
            <w:r>
              <w:rPr>
                <w:szCs w:val="21"/>
              </w:rPr>
              <w:t>-</w:t>
            </w:r>
            <w:r>
              <w:rPr>
                <w:rFonts w:hint="eastAsia"/>
                <w:szCs w:val="21"/>
              </w:rPr>
              <w:t>N（</w:t>
            </w:r>
            <w:r>
              <w:rPr>
                <w:szCs w:val="21"/>
              </w:rPr>
              <w:t>200</w:t>
            </w:r>
            <w:r>
              <w:rPr>
                <w:rFonts w:hint="eastAsia"/>
                <w:szCs w:val="21"/>
              </w:rPr>
              <w:t>mg</w:t>
            </w:r>
            <w:r>
              <w:rPr>
                <w:szCs w:val="21"/>
              </w:rPr>
              <w:t>/</w:t>
            </w:r>
            <w:r>
              <w:rPr>
                <w:rFonts w:hint="eastAsia"/>
                <w:szCs w:val="21"/>
              </w:rPr>
              <w:t>L）</w:t>
            </w:r>
          </w:p>
        </w:tc>
        <w:tc>
          <w:tcPr>
            <w:tcW w:w="1738" w:type="dxa"/>
            <w:vAlign w:val="bottom"/>
          </w:tcPr>
          <w:p>
            <w:pPr>
              <w:widowControl/>
              <w:adjustRightInd/>
              <w:spacing w:line="360" w:lineRule="auto"/>
              <w:jc w:val="center"/>
              <w:textAlignment w:val="auto"/>
              <w:rPr>
                <w:szCs w:val="21"/>
              </w:rPr>
            </w:pPr>
            <w:r>
              <w:rPr>
                <w:szCs w:val="21"/>
              </w:rPr>
              <w:t>0.00147t/a</w:t>
            </w:r>
          </w:p>
        </w:tc>
        <w:tc>
          <w:tcPr>
            <w:tcW w:w="2072" w:type="dxa"/>
            <w:gridSpan w:val="2"/>
            <w:vAlign w:val="bottom"/>
          </w:tcPr>
          <w:p>
            <w:pPr>
              <w:widowControl/>
              <w:adjustRightInd/>
              <w:spacing w:line="360" w:lineRule="auto"/>
              <w:jc w:val="center"/>
              <w:textAlignment w:val="auto"/>
              <w:rPr>
                <w:szCs w:val="21"/>
              </w:rPr>
            </w:pPr>
            <w:r>
              <w:rPr>
                <w:szCs w:val="21"/>
              </w:rPr>
              <w:t>0.00029t/a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671" w:type="dxa"/>
            <w:vMerge w:val="continue"/>
            <w:vAlign w:val="center"/>
          </w:tcPr>
          <w:p>
            <w:pPr>
              <w:spacing w:line="360" w:lineRule="auto"/>
              <w:jc w:val="center"/>
              <w:rPr>
                <w:szCs w:val="21"/>
              </w:rPr>
            </w:pPr>
          </w:p>
        </w:tc>
        <w:tc>
          <w:tcPr>
            <w:tcW w:w="627" w:type="dxa"/>
            <w:vMerge w:val="continue"/>
            <w:vAlign w:val="center"/>
          </w:tcPr>
          <w:p>
            <w:pPr>
              <w:spacing w:line="360" w:lineRule="auto"/>
              <w:jc w:val="center"/>
              <w:rPr>
                <w:szCs w:val="21"/>
              </w:rPr>
            </w:pPr>
          </w:p>
        </w:tc>
        <w:tc>
          <w:tcPr>
            <w:tcW w:w="1076" w:type="dxa"/>
            <w:vMerge w:val="continue"/>
            <w:vAlign w:val="center"/>
          </w:tcPr>
          <w:p>
            <w:pPr>
              <w:spacing w:line="360" w:lineRule="auto"/>
              <w:jc w:val="center"/>
              <w:rPr>
                <w:szCs w:val="21"/>
              </w:rPr>
            </w:pPr>
          </w:p>
        </w:tc>
        <w:tc>
          <w:tcPr>
            <w:tcW w:w="2268" w:type="dxa"/>
            <w:gridSpan w:val="3"/>
            <w:vMerge w:val="continue"/>
            <w:vAlign w:val="center"/>
          </w:tcPr>
          <w:p>
            <w:pPr>
              <w:spacing w:line="360" w:lineRule="auto"/>
              <w:jc w:val="center"/>
              <w:rPr>
                <w:szCs w:val="21"/>
              </w:rPr>
            </w:pPr>
          </w:p>
        </w:tc>
        <w:tc>
          <w:tcPr>
            <w:tcW w:w="1738" w:type="dxa"/>
            <w:vAlign w:val="bottom"/>
          </w:tcPr>
          <w:p>
            <w:pPr>
              <w:spacing w:line="360" w:lineRule="auto"/>
              <w:jc w:val="center"/>
              <w:rPr>
                <w:szCs w:val="21"/>
              </w:rPr>
            </w:pPr>
            <w:r>
              <w:rPr>
                <w:szCs w:val="21"/>
              </w:rPr>
              <w:t>0.00074t/a</w:t>
            </w:r>
          </w:p>
        </w:tc>
        <w:tc>
          <w:tcPr>
            <w:tcW w:w="2072" w:type="dxa"/>
            <w:gridSpan w:val="2"/>
            <w:vAlign w:val="bottom"/>
          </w:tcPr>
          <w:p>
            <w:pPr>
              <w:spacing w:line="360" w:lineRule="auto"/>
              <w:jc w:val="center"/>
              <w:rPr>
                <w:szCs w:val="21"/>
              </w:rPr>
            </w:pPr>
            <w:r>
              <w:rPr>
                <w:szCs w:val="21"/>
              </w:rPr>
              <w:t>0.00015t/a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671" w:type="dxa"/>
            <w:vMerge w:val="continue"/>
            <w:vAlign w:val="center"/>
          </w:tcPr>
          <w:p>
            <w:pPr>
              <w:spacing w:line="360" w:lineRule="auto"/>
              <w:jc w:val="center"/>
              <w:rPr>
                <w:szCs w:val="21"/>
              </w:rPr>
            </w:pPr>
          </w:p>
        </w:tc>
        <w:tc>
          <w:tcPr>
            <w:tcW w:w="627" w:type="dxa"/>
            <w:vMerge w:val="continue"/>
            <w:vAlign w:val="center"/>
          </w:tcPr>
          <w:p>
            <w:pPr>
              <w:spacing w:line="360" w:lineRule="auto"/>
              <w:jc w:val="center"/>
              <w:rPr>
                <w:szCs w:val="21"/>
              </w:rPr>
            </w:pPr>
          </w:p>
        </w:tc>
        <w:tc>
          <w:tcPr>
            <w:tcW w:w="1076" w:type="dxa"/>
            <w:vMerge w:val="continue"/>
            <w:vAlign w:val="center"/>
          </w:tcPr>
          <w:p>
            <w:pPr>
              <w:spacing w:line="360" w:lineRule="auto"/>
              <w:jc w:val="center"/>
              <w:rPr>
                <w:szCs w:val="21"/>
              </w:rPr>
            </w:pPr>
          </w:p>
        </w:tc>
        <w:tc>
          <w:tcPr>
            <w:tcW w:w="2268" w:type="dxa"/>
            <w:gridSpan w:val="3"/>
            <w:vMerge w:val="continue"/>
            <w:vAlign w:val="center"/>
          </w:tcPr>
          <w:p>
            <w:pPr>
              <w:spacing w:line="360" w:lineRule="auto"/>
              <w:jc w:val="center"/>
              <w:rPr>
                <w:szCs w:val="21"/>
              </w:rPr>
            </w:pPr>
          </w:p>
        </w:tc>
        <w:tc>
          <w:tcPr>
            <w:tcW w:w="1738" w:type="dxa"/>
            <w:vAlign w:val="bottom"/>
          </w:tcPr>
          <w:p>
            <w:pPr>
              <w:spacing w:line="360" w:lineRule="auto"/>
              <w:jc w:val="center"/>
              <w:rPr>
                <w:szCs w:val="21"/>
              </w:rPr>
            </w:pPr>
            <w:r>
              <w:rPr>
                <w:szCs w:val="21"/>
              </w:rPr>
              <w:t>0.00013t/a</w:t>
            </w:r>
          </w:p>
        </w:tc>
        <w:tc>
          <w:tcPr>
            <w:tcW w:w="2072" w:type="dxa"/>
            <w:gridSpan w:val="2"/>
            <w:vAlign w:val="bottom"/>
          </w:tcPr>
          <w:p>
            <w:pPr>
              <w:spacing w:line="360" w:lineRule="auto"/>
              <w:jc w:val="center"/>
              <w:rPr>
                <w:szCs w:val="21"/>
              </w:rPr>
            </w:pPr>
            <w:r>
              <w:rPr>
                <w:szCs w:val="21"/>
              </w:rPr>
              <w:t>0.000025t/a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671" w:type="dxa"/>
            <w:vMerge w:val="continue"/>
            <w:vAlign w:val="center"/>
          </w:tcPr>
          <w:p>
            <w:pPr>
              <w:spacing w:line="360" w:lineRule="auto"/>
              <w:jc w:val="center"/>
              <w:rPr>
                <w:szCs w:val="21"/>
              </w:rPr>
            </w:pPr>
          </w:p>
        </w:tc>
        <w:tc>
          <w:tcPr>
            <w:tcW w:w="627" w:type="dxa"/>
            <w:vMerge w:val="continue"/>
            <w:vAlign w:val="center"/>
          </w:tcPr>
          <w:p>
            <w:pPr>
              <w:spacing w:line="360" w:lineRule="auto"/>
              <w:jc w:val="center"/>
              <w:rPr>
                <w:szCs w:val="21"/>
              </w:rPr>
            </w:pPr>
          </w:p>
        </w:tc>
        <w:tc>
          <w:tcPr>
            <w:tcW w:w="1076" w:type="dxa"/>
            <w:vMerge w:val="continue"/>
            <w:vAlign w:val="center"/>
          </w:tcPr>
          <w:p>
            <w:pPr>
              <w:spacing w:line="360" w:lineRule="auto"/>
              <w:jc w:val="center"/>
              <w:rPr>
                <w:szCs w:val="21"/>
              </w:rPr>
            </w:pPr>
          </w:p>
        </w:tc>
        <w:tc>
          <w:tcPr>
            <w:tcW w:w="2268" w:type="dxa"/>
            <w:gridSpan w:val="3"/>
            <w:vMerge w:val="continue"/>
            <w:vAlign w:val="center"/>
          </w:tcPr>
          <w:p>
            <w:pPr>
              <w:spacing w:line="360" w:lineRule="auto"/>
              <w:jc w:val="center"/>
              <w:rPr>
                <w:szCs w:val="21"/>
              </w:rPr>
            </w:pPr>
          </w:p>
        </w:tc>
        <w:tc>
          <w:tcPr>
            <w:tcW w:w="1738" w:type="dxa"/>
            <w:vAlign w:val="bottom"/>
          </w:tcPr>
          <w:p>
            <w:pPr>
              <w:spacing w:line="360" w:lineRule="auto"/>
              <w:jc w:val="center"/>
              <w:rPr>
                <w:szCs w:val="21"/>
              </w:rPr>
            </w:pPr>
            <w:r>
              <w:rPr>
                <w:szCs w:val="21"/>
              </w:rPr>
              <w:t>0.000042t/a</w:t>
            </w:r>
          </w:p>
        </w:tc>
        <w:tc>
          <w:tcPr>
            <w:tcW w:w="2072" w:type="dxa"/>
            <w:gridSpan w:val="2"/>
            <w:vAlign w:val="bottom"/>
          </w:tcPr>
          <w:p>
            <w:pPr>
              <w:spacing w:line="360" w:lineRule="auto"/>
              <w:jc w:val="center"/>
              <w:rPr>
                <w:szCs w:val="21"/>
              </w:rPr>
            </w:pPr>
            <w:r>
              <w:rPr>
                <w:szCs w:val="21"/>
              </w:rPr>
              <w:t>0.0000084t/a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671" w:type="dxa"/>
            <w:vMerge w:val="restart"/>
            <w:vAlign w:val="center"/>
          </w:tcPr>
          <w:p>
            <w:pPr>
              <w:spacing w:line="360" w:lineRule="auto"/>
              <w:jc w:val="center"/>
              <w:rPr>
                <w:b/>
                <w:szCs w:val="21"/>
              </w:rPr>
            </w:pPr>
            <w:r>
              <w:rPr>
                <w:rFonts w:hint="eastAsia"/>
                <w:b/>
                <w:szCs w:val="21"/>
              </w:rPr>
              <w:t>噪声污染</w:t>
            </w:r>
          </w:p>
        </w:tc>
        <w:tc>
          <w:tcPr>
            <w:tcW w:w="627" w:type="dxa"/>
            <w:vAlign w:val="center"/>
          </w:tcPr>
          <w:p>
            <w:pPr>
              <w:spacing w:line="360" w:lineRule="auto"/>
              <w:jc w:val="center"/>
              <w:rPr>
                <w:szCs w:val="21"/>
              </w:rPr>
            </w:pPr>
            <w:r>
              <w:rPr>
                <w:rFonts w:hint="eastAsia"/>
                <w:szCs w:val="21"/>
              </w:rPr>
              <w:t>施工期</w:t>
            </w:r>
          </w:p>
        </w:tc>
        <w:tc>
          <w:tcPr>
            <w:tcW w:w="1076" w:type="dxa"/>
            <w:vAlign w:val="center"/>
          </w:tcPr>
          <w:p>
            <w:pPr>
              <w:spacing w:line="360" w:lineRule="auto"/>
              <w:jc w:val="center"/>
              <w:rPr>
                <w:szCs w:val="21"/>
              </w:rPr>
            </w:pPr>
            <w:r>
              <w:rPr>
                <w:rFonts w:hint="eastAsia"/>
                <w:szCs w:val="21"/>
              </w:rPr>
              <w:t>施工机械</w:t>
            </w:r>
          </w:p>
          <w:p>
            <w:pPr>
              <w:spacing w:line="360" w:lineRule="auto"/>
              <w:jc w:val="center"/>
              <w:rPr>
                <w:szCs w:val="21"/>
              </w:rPr>
            </w:pPr>
            <w:r>
              <w:rPr>
                <w:rFonts w:hint="eastAsia"/>
                <w:szCs w:val="21"/>
              </w:rPr>
              <w:t>运输车辆</w:t>
            </w:r>
          </w:p>
        </w:tc>
        <w:tc>
          <w:tcPr>
            <w:tcW w:w="2268" w:type="dxa"/>
            <w:gridSpan w:val="3"/>
            <w:vAlign w:val="center"/>
          </w:tcPr>
          <w:p>
            <w:pPr>
              <w:spacing w:line="360" w:lineRule="auto"/>
              <w:jc w:val="center"/>
              <w:rPr>
                <w:szCs w:val="21"/>
              </w:rPr>
            </w:pPr>
            <w:r>
              <w:rPr>
                <w:rFonts w:hint="eastAsia"/>
                <w:szCs w:val="21"/>
              </w:rPr>
              <w:t>机械噪声</w:t>
            </w:r>
          </w:p>
        </w:tc>
        <w:tc>
          <w:tcPr>
            <w:tcW w:w="1738" w:type="dxa"/>
            <w:vAlign w:val="center"/>
          </w:tcPr>
          <w:p>
            <w:pPr>
              <w:pStyle w:val="105"/>
              <w:spacing w:line="360" w:lineRule="auto"/>
              <w:jc w:val="center"/>
              <w:textAlignment w:val="baseline"/>
              <w:rPr>
                <w:rFonts w:ascii="Times New Roman"/>
                <w:color w:val="auto"/>
                <w:sz w:val="21"/>
                <w:szCs w:val="21"/>
              </w:rPr>
            </w:pPr>
            <w:r>
              <w:rPr>
                <w:rFonts w:ascii="Times New Roman"/>
                <w:color w:val="auto"/>
                <w:sz w:val="21"/>
                <w:szCs w:val="21"/>
              </w:rPr>
              <w:t>75~115dB</w:t>
            </w:r>
            <w:r>
              <w:rPr>
                <w:rFonts w:hint="eastAsia" w:ascii="Times New Roman"/>
                <w:color w:val="auto"/>
                <w:sz w:val="21"/>
                <w:szCs w:val="21"/>
              </w:rPr>
              <w:t>（</w:t>
            </w:r>
            <w:r>
              <w:rPr>
                <w:rFonts w:ascii="Times New Roman"/>
                <w:color w:val="auto"/>
                <w:sz w:val="21"/>
                <w:szCs w:val="21"/>
              </w:rPr>
              <w:t>A</w:t>
            </w:r>
            <w:r>
              <w:rPr>
                <w:rFonts w:hint="eastAsia" w:ascii="Times New Roman"/>
                <w:color w:val="auto"/>
                <w:sz w:val="21"/>
                <w:szCs w:val="21"/>
              </w:rPr>
              <w:t>）</w:t>
            </w:r>
          </w:p>
        </w:tc>
        <w:tc>
          <w:tcPr>
            <w:tcW w:w="2072" w:type="dxa"/>
            <w:gridSpan w:val="2"/>
            <w:vAlign w:val="center"/>
          </w:tcPr>
          <w:p>
            <w:pPr>
              <w:pStyle w:val="105"/>
              <w:spacing w:line="360" w:lineRule="auto"/>
              <w:jc w:val="center"/>
              <w:textAlignment w:val="baseline"/>
              <w:rPr>
                <w:rFonts w:ascii="Times New Roman"/>
                <w:color w:val="auto"/>
                <w:sz w:val="21"/>
                <w:szCs w:val="21"/>
              </w:rPr>
            </w:pPr>
            <w:r>
              <w:rPr>
                <w:rFonts w:hint="eastAsia" w:ascii="Times New Roman"/>
                <w:color w:val="auto"/>
                <w:sz w:val="21"/>
                <w:szCs w:val="21"/>
              </w:rPr>
              <w:t>昼间≤</w:t>
            </w:r>
            <w:r>
              <w:rPr>
                <w:rFonts w:ascii="Times New Roman" w:cs="Times New Roman"/>
                <w:color w:val="auto"/>
                <w:sz w:val="21"/>
                <w:szCs w:val="21"/>
              </w:rPr>
              <w:t>70dB(A)</w:t>
            </w:r>
          </w:p>
          <w:p>
            <w:pPr>
              <w:spacing w:line="360" w:lineRule="auto"/>
              <w:jc w:val="center"/>
              <w:rPr>
                <w:szCs w:val="21"/>
              </w:rPr>
            </w:pPr>
            <w:r>
              <w:rPr>
                <w:rFonts w:hint="eastAsia"/>
                <w:szCs w:val="21"/>
              </w:rPr>
              <w:t>夜间≤</w:t>
            </w:r>
            <w:r>
              <w:rPr>
                <w:szCs w:val="21"/>
              </w:rPr>
              <w:t>55dB(A)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671" w:type="dxa"/>
            <w:vMerge w:val="continue"/>
            <w:vAlign w:val="center"/>
          </w:tcPr>
          <w:p>
            <w:pPr>
              <w:spacing w:line="360" w:lineRule="auto"/>
              <w:jc w:val="center"/>
              <w:rPr>
                <w:szCs w:val="21"/>
              </w:rPr>
            </w:pPr>
          </w:p>
        </w:tc>
        <w:tc>
          <w:tcPr>
            <w:tcW w:w="627" w:type="dxa"/>
            <w:vAlign w:val="center"/>
          </w:tcPr>
          <w:p>
            <w:pPr>
              <w:spacing w:line="360" w:lineRule="auto"/>
              <w:jc w:val="center"/>
              <w:rPr>
                <w:szCs w:val="21"/>
              </w:rPr>
            </w:pPr>
            <w:r>
              <w:rPr>
                <w:rFonts w:hint="eastAsia"/>
                <w:szCs w:val="21"/>
              </w:rPr>
              <w:t>运营期</w:t>
            </w:r>
          </w:p>
        </w:tc>
        <w:tc>
          <w:tcPr>
            <w:tcW w:w="1076" w:type="dxa"/>
            <w:vAlign w:val="center"/>
          </w:tcPr>
          <w:p>
            <w:pPr>
              <w:spacing w:line="360" w:lineRule="auto"/>
              <w:jc w:val="center"/>
              <w:rPr>
                <w:szCs w:val="21"/>
              </w:rPr>
            </w:pPr>
            <w:r>
              <w:rPr>
                <w:rFonts w:hint="eastAsia"/>
                <w:szCs w:val="21"/>
              </w:rPr>
              <w:t>设备噪声</w:t>
            </w:r>
          </w:p>
        </w:tc>
        <w:tc>
          <w:tcPr>
            <w:tcW w:w="2268" w:type="dxa"/>
            <w:gridSpan w:val="3"/>
            <w:vAlign w:val="center"/>
          </w:tcPr>
          <w:p>
            <w:pPr>
              <w:spacing w:line="360" w:lineRule="auto"/>
              <w:jc w:val="center"/>
              <w:rPr>
                <w:szCs w:val="21"/>
              </w:rPr>
            </w:pPr>
            <w:r>
              <w:rPr>
                <w:rFonts w:hint="eastAsia"/>
                <w:szCs w:val="21"/>
              </w:rPr>
              <w:t>机械噪声</w:t>
            </w:r>
          </w:p>
        </w:tc>
        <w:tc>
          <w:tcPr>
            <w:tcW w:w="1738" w:type="dxa"/>
            <w:vAlign w:val="center"/>
          </w:tcPr>
          <w:p>
            <w:pPr>
              <w:pStyle w:val="105"/>
              <w:spacing w:line="360" w:lineRule="auto"/>
              <w:jc w:val="center"/>
              <w:textAlignment w:val="baseline"/>
              <w:rPr>
                <w:rFonts w:ascii="Times New Roman"/>
                <w:color w:val="auto"/>
                <w:sz w:val="21"/>
                <w:szCs w:val="21"/>
              </w:rPr>
            </w:pPr>
            <w:r>
              <w:rPr>
                <w:rFonts w:ascii="Times New Roman"/>
                <w:color w:val="auto"/>
                <w:sz w:val="21"/>
                <w:szCs w:val="21"/>
              </w:rPr>
              <w:t>65~80dB</w:t>
            </w:r>
            <w:r>
              <w:rPr>
                <w:rFonts w:hint="eastAsia" w:ascii="Times New Roman"/>
                <w:color w:val="auto"/>
                <w:sz w:val="21"/>
                <w:szCs w:val="21"/>
              </w:rPr>
              <w:t>（</w:t>
            </w:r>
            <w:r>
              <w:rPr>
                <w:rFonts w:ascii="Times New Roman"/>
                <w:color w:val="auto"/>
                <w:sz w:val="21"/>
                <w:szCs w:val="21"/>
              </w:rPr>
              <w:t>A</w:t>
            </w:r>
            <w:r>
              <w:rPr>
                <w:rFonts w:hint="eastAsia" w:ascii="Times New Roman"/>
                <w:color w:val="auto"/>
                <w:sz w:val="21"/>
                <w:szCs w:val="21"/>
              </w:rPr>
              <w:t>）</w:t>
            </w:r>
          </w:p>
        </w:tc>
        <w:tc>
          <w:tcPr>
            <w:tcW w:w="2072" w:type="dxa"/>
            <w:gridSpan w:val="2"/>
            <w:vAlign w:val="center"/>
          </w:tcPr>
          <w:p>
            <w:pPr>
              <w:pStyle w:val="105"/>
              <w:spacing w:line="360" w:lineRule="auto"/>
              <w:jc w:val="center"/>
              <w:textAlignment w:val="baseline"/>
              <w:rPr>
                <w:rFonts w:ascii="Times New Roman"/>
                <w:color w:val="auto"/>
                <w:sz w:val="21"/>
                <w:szCs w:val="21"/>
              </w:rPr>
            </w:pPr>
            <w:r>
              <w:rPr>
                <w:rFonts w:hint="eastAsia" w:ascii="Times New Roman"/>
                <w:color w:val="auto"/>
                <w:sz w:val="21"/>
                <w:szCs w:val="21"/>
              </w:rPr>
              <w:t>昼间≤</w:t>
            </w:r>
            <w:r>
              <w:rPr>
                <w:rFonts w:ascii="Times New Roman" w:cs="Times New Roman"/>
                <w:color w:val="auto"/>
                <w:sz w:val="21"/>
                <w:szCs w:val="21"/>
              </w:rPr>
              <w:t>60dB(A)</w:t>
            </w:r>
          </w:p>
          <w:p>
            <w:pPr>
              <w:spacing w:line="360" w:lineRule="auto"/>
              <w:jc w:val="center"/>
              <w:rPr>
                <w:szCs w:val="21"/>
              </w:rPr>
            </w:pPr>
            <w:r>
              <w:rPr>
                <w:rFonts w:hint="eastAsia"/>
                <w:szCs w:val="21"/>
              </w:rPr>
              <w:t>夜间≤</w:t>
            </w:r>
            <w:r>
              <w:rPr>
                <w:szCs w:val="21"/>
              </w:rPr>
              <w:t>50dB(A)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16" w:hRule="atLeast"/>
          <w:jc w:val="center"/>
        </w:trPr>
        <w:tc>
          <w:tcPr>
            <w:tcW w:w="671" w:type="dxa"/>
            <w:vMerge w:val="restart"/>
            <w:vAlign w:val="center"/>
          </w:tcPr>
          <w:p>
            <w:pPr>
              <w:spacing w:line="360" w:lineRule="auto"/>
              <w:jc w:val="center"/>
              <w:rPr>
                <w:b/>
                <w:szCs w:val="21"/>
              </w:rPr>
            </w:pPr>
            <w:r>
              <w:rPr>
                <w:rFonts w:hint="eastAsia"/>
                <w:b/>
                <w:szCs w:val="21"/>
              </w:rPr>
              <w:t>固体废物</w:t>
            </w:r>
          </w:p>
        </w:tc>
        <w:tc>
          <w:tcPr>
            <w:tcW w:w="627" w:type="dxa"/>
            <w:vMerge w:val="restart"/>
            <w:vAlign w:val="center"/>
          </w:tcPr>
          <w:p>
            <w:pPr>
              <w:spacing w:line="360" w:lineRule="auto"/>
              <w:jc w:val="center"/>
              <w:rPr>
                <w:szCs w:val="21"/>
              </w:rPr>
            </w:pPr>
            <w:r>
              <w:rPr>
                <w:rFonts w:hint="eastAsia"/>
                <w:szCs w:val="21"/>
              </w:rPr>
              <w:t>施工期</w:t>
            </w:r>
          </w:p>
        </w:tc>
        <w:tc>
          <w:tcPr>
            <w:tcW w:w="1076" w:type="dxa"/>
            <w:vAlign w:val="center"/>
          </w:tcPr>
          <w:p>
            <w:pPr>
              <w:spacing w:line="360" w:lineRule="auto"/>
              <w:jc w:val="center"/>
              <w:rPr>
                <w:szCs w:val="21"/>
              </w:rPr>
            </w:pPr>
            <w:r>
              <w:rPr>
                <w:rFonts w:hint="eastAsia"/>
                <w:szCs w:val="21"/>
              </w:rPr>
              <w:t>建筑施工</w:t>
            </w:r>
          </w:p>
        </w:tc>
        <w:tc>
          <w:tcPr>
            <w:tcW w:w="2268" w:type="dxa"/>
            <w:gridSpan w:val="3"/>
            <w:vAlign w:val="center"/>
          </w:tcPr>
          <w:p>
            <w:pPr>
              <w:spacing w:line="360" w:lineRule="auto"/>
              <w:jc w:val="center"/>
              <w:rPr>
                <w:szCs w:val="21"/>
              </w:rPr>
            </w:pPr>
            <w:r>
              <w:rPr>
                <w:rFonts w:hint="eastAsia"/>
                <w:szCs w:val="21"/>
              </w:rPr>
              <w:t>建筑垃圾</w:t>
            </w:r>
          </w:p>
        </w:tc>
        <w:tc>
          <w:tcPr>
            <w:tcW w:w="1738" w:type="dxa"/>
            <w:vAlign w:val="center"/>
          </w:tcPr>
          <w:p>
            <w:pPr>
              <w:spacing w:line="360" w:lineRule="auto"/>
              <w:jc w:val="center"/>
              <w:rPr>
                <w:szCs w:val="21"/>
              </w:rPr>
            </w:pPr>
            <w:r>
              <w:rPr>
                <w:rFonts w:hint="eastAsia"/>
                <w:szCs w:val="21"/>
              </w:rPr>
              <w:t>4</w:t>
            </w:r>
            <w:r>
              <w:rPr>
                <w:szCs w:val="21"/>
              </w:rPr>
              <w:t>7.025</w:t>
            </w:r>
            <w:r>
              <w:rPr>
                <w:rFonts w:hint="eastAsia"/>
                <w:szCs w:val="21"/>
              </w:rPr>
              <w:t>t</w:t>
            </w:r>
          </w:p>
        </w:tc>
        <w:tc>
          <w:tcPr>
            <w:tcW w:w="2072" w:type="dxa"/>
            <w:gridSpan w:val="2"/>
            <w:vAlign w:val="center"/>
          </w:tcPr>
          <w:p>
            <w:pPr>
              <w:spacing w:line="360" w:lineRule="auto"/>
              <w:jc w:val="center"/>
              <w:rPr>
                <w:szCs w:val="21"/>
              </w:rPr>
            </w:pPr>
            <w:r>
              <w:rPr>
                <w:rFonts w:hint="eastAsia"/>
                <w:szCs w:val="21"/>
              </w:rPr>
              <w:t>4</w:t>
            </w:r>
            <w:r>
              <w:rPr>
                <w:szCs w:val="21"/>
              </w:rPr>
              <w:t>7.025</w:t>
            </w:r>
            <w:r>
              <w:rPr>
                <w:rFonts w:hint="eastAsia"/>
                <w:szCs w:val="21"/>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671" w:type="dxa"/>
            <w:vMerge w:val="continue"/>
            <w:vAlign w:val="center"/>
          </w:tcPr>
          <w:p>
            <w:pPr>
              <w:spacing w:line="360" w:lineRule="auto"/>
              <w:jc w:val="center"/>
              <w:rPr>
                <w:szCs w:val="21"/>
              </w:rPr>
            </w:pPr>
          </w:p>
        </w:tc>
        <w:tc>
          <w:tcPr>
            <w:tcW w:w="627" w:type="dxa"/>
            <w:vMerge w:val="continue"/>
            <w:vAlign w:val="center"/>
          </w:tcPr>
          <w:p>
            <w:pPr>
              <w:spacing w:line="360" w:lineRule="auto"/>
              <w:jc w:val="center"/>
              <w:rPr>
                <w:szCs w:val="21"/>
              </w:rPr>
            </w:pPr>
          </w:p>
        </w:tc>
        <w:tc>
          <w:tcPr>
            <w:tcW w:w="1076" w:type="dxa"/>
            <w:vAlign w:val="center"/>
          </w:tcPr>
          <w:p>
            <w:pPr>
              <w:spacing w:line="360" w:lineRule="auto"/>
              <w:jc w:val="center"/>
              <w:rPr>
                <w:szCs w:val="21"/>
              </w:rPr>
            </w:pPr>
            <w:r>
              <w:rPr>
                <w:rFonts w:hint="eastAsia"/>
                <w:szCs w:val="21"/>
              </w:rPr>
              <w:t>施工人员</w:t>
            </w:r>
          </w:p>
        </w:tc>
        <w:tc>
          <w:tcPr>
            <w:tcW w:w="2268" w:type="dxa"/>
            <w:gridSpan w:val="3"/>
            <w:vAlign w:val="center"/>
          </w:tcPr>
          <w:p>
            <w:pPr>
              <w:spacing w:line="360" w:lineRule="auto"/>
              <w:jc w:val="center"/>
              <w:rPr>
                <w:szCs w:val="21"/>
              </w:rPr>
            </w:pPr>
            <w:r>
              <w:rPr>
                <w:rFonts w:hint="eastAsia"/>
                <w:szCs w:val="21"/>
              </w:rPr>
              <w:t>生活垃圾</w:t>
            </w:r>
          </w:p>
        </w:tc>
        <w:tc>
          <w:tcPr>
            <w:tcW w:w="1738" w:type="dxa"/>
            <w:vAlign w:val="center"/>
          </w:tcPr>
          <w:p>
            <w:pPr>
              <w:spacing w:line="360" w:lineRule="auto"/>
              <w:jc w:val="center"/>
              <w:rPr>
                <w:szCs w:val="21"/>
              </w:rPr>
            </w:pPr>
            <w:r>
              <w:rPr>
                <w:szCs w:val="21"/>
              </w:rPr>
              <w:t>9.125</w:t>
            </w:r>
            <w:r>
              <w:rPr>
                <w:rFonts w:hint="eastAsia"/>
                <w:szCs w:val="21"/>
              </w:rPr>
              <w:t>t</w:t>
            </w:r>
          </w:p>
        </w:tc>
        <w:tc>
          <w:tcPr>
            <w:tcW w:w="2072" w:type="dxa"/>
            <w:gridSpan w:val="2"/>
            <w:vAlign w:val="center"/>
          </w:tcPr>
          <w:p>
            <w:pPr>
              <w:spacing w:line="360" w:lineRule="auto"/>
              <w:jc w:val="center"/>
              <w:rPr>
                <w:szCs w:val="21"/>
              </w:rPr>
            </w:pPr>
            <w:r>
              <w:rPr>
                <w:szCs w:val="21"/>
              </w:rPr>
              <w:t>9.125</w:t>
            </w:r>
            <w:r>
              <w:rPr>
                <w:rFonts w:hint="eastAsia"/>
                <w:szCs w:val="21"/>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650" w:hRule="atLeast"/>
          <w:jc w:val="center"/>
        </w:trPr>
        <w:tc>
          <w:tcPr>
            <w:tcW w:w="671" w:type="dxa"/>
            <w:vMerge w:val="continue"/>
            <w:vAlign w:val="center"/>
          </w:tcPr>
          <w:p>
            <w:pPr>
              <w:spacing w:line="360" w:lineRule="auto"/>
              <w:jc w:val="center"/>
              <w:rPr>
                <w:szCs w:val="21"/>
              </w:rPr>
            </w:pPr>
          </w:p>
        </w:tc>
        <w:tc>
          <w:tcPr>
            <w:tcW w:w="627" w:type="dxa"/>
            <w:vMerge w:val="restart"/>
            <w:vAlign w:val="center"/>
          </w:tcPr>
          <w:p>
            <w:pPr>
              <w:spacing w:line="360" w:lineRule="auto"/>
              <w:jc w:val="center"/>
              <w:rPr>
                <w:szCs w:val="21"/>
              </w:rPr>
            </w:pPr>
            <w:r>
              <w:rPr>
                <w:rFonts w:hint="eastAsia"/>
                <w:szCs w:val="21"/>
              </w:rPr>
              <w:t>运营期</w:t>
            </w:r>
          </w:p>
        </w:tc>
        <w:tc>
          <w:tcPr>
            <w:tcW w:w="1076" w:type="dxa"/>
            <w:vAlign w:val="center"/>
          </w:tcPr>
          <w:p>
            <w:pPr>
              <w:spacing w:line="360" w:lineRule="auto"/>
              <w:jc w:val="center"/>
              <w:rPr>
                <w:szCs w:val="21"/>
              </w:rPr>
            </w:pPr>
            <w:r>
              <w:rPr>
                <w:rFonts w:hint="eastAsia"/>
                <w:szCs w:val="21"/>
              </w:rPr>
              <w:t>工作人员</w:t>
            </w:r>
          </w:p>
        </w:tc>
        <w:tc>
          <w:tcPr>
            <w:tcW w:w="2268" w:type="dxa"/>
            <w:gridSpan w:val="3"/>
            <w:vAlign w:val="center"/>
          </w:tcPr>
          <w:p>
            <w:pPr>
              <w:spacing w:line="360" w:lineRule="auto"/>
              <w:jc w:val="center"/>
              <w:rPr>
                <w:szCs w:val="21"/>
              </w:rPr>
            </w:pPr>
            <w:r>
              <w:rPr>
                <w:rFonts w:hint="eastAsia"/>
                <w:szCs w:val="21"/>
              </w:rPr>
              <w:t>生活垃圾</w:t>
            </w:r>
          </w:p>
        </w:tc>
        <w:tc>
          <w:tcPr>
            <w:tcW w:w="1738" w:type="dxa"/>
            <w:vAlign w:val="center"/>
          </w:tcPr>
          <w:p>
            <w:pPr>
              <w:spacing w:line="360" w:lineRule="auto"/>
              <w:jc w:val="center"/>
              <w:rPr>
                <w:szCs w:val="21"/>
              </w:rPr>
            </w:pPr>
            <w:r>
              <w:rPr>
                <w:szCs w:val="21"/>
              </w:rPr>
              <w:t>2.92</w:t>
            </w:r>
            <w:r>
              <w:rPr>
                <w:rFonts w:hint="eastAsia"/>
                <w:szCs w:val="21"/>
              </w:rPr>
              <w:t>t/a</w:t>
            </w:r>
          </w:p>
        </w:tc>
        <w:tc>
          <w:tcPr>
            <w:tcW w:w="2072" w:type="dxa"/>
            <w:gridSpan w:val="2"/>
            <w:vAlign w:val="center"/>
          </w:tcPr>
          <w:p>
            <w:pPr>
              <w:spacing w:line="360" w:lineRule="auto"/>
              <w:jc w:val="center"/>
              <w:rPr>
                <w:szCs w:val="21"/>
              </w:rPr>
            </w:pPr>
            <w:r>
              <w:rPr>
                <w:szCs w:val="21"/>
              </w:rPr>
              <w:t>2.92</w:t>
            </w:r>
            <w:r>
              <w:rPr>
                <w:rFonts w:hint="eastAsia"/>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671" w:type="dxa"/>
            <w:vMerge w:val="continue"/>
            <w:vAlign w:val="center"/>
          </w:tcPr>
          <w:p>
            <w:pPr>
              <w:spacing w:line="360" w:lineRule="auto"/>
              <w:jc w:val="center"/>
              <w:rPr>
                <w:szCs w:val="21"/>
              </w:rPr>
            </w:pPr>
          </w:p>
        </w:tc>
        <w:tc>
          <w:tcPr>
            <w:tcW w:w="627" w:type="dxa"/>
            <w:vMerge w:val="continue"/>
            <w:vAlign w:val="center"/>
          </w:tcPr>
          <w:p>
            <w:pPr>
              <w:spacing w:line="360" w:lineRule="auto"/>
              <w:jc w:val="center"/>
              <w:rPr>
                <w:szCs w:val="21"/>
              </w:rPr>
            </w:pPr>
          </w:p>
        </w:tc>
        <w:tc>
          <w:tcPr>
            <w:tcW w:w="1076" w:type="dxa"/>
            <w:vAlign w:val="center"/>
          </w:tcPr>
          <w:p>
            <w:pPr>
              <w:spacing w:line="360" w:lineRule="auto"/>
              <w:jc w:val="center"/>
              <w:rPr>
                <w:szCs w:val="21"/>
              </w:rPr>
            </w:pPr>
            <w:r>
              <w:rPr>
                <w:rFonts w:hint="eastAsia"/>
                <w:szCs w:val="21"/>
              </w:rPr>
              <w:t>污水收集池</w:t>
            </w:r>
          </w:p>
        </w:tc>
        <w:tc>
          <w:tcPr>
            <w:tcW w:w="2268" w:type="dxa"/>
            <w:gridSpan w:val="3"/>
            <w:vAlign w:val="center"/>
          </w:tcPr>
          <w:p>
            <w:pPr>
              <w:spacing w:line="360" w:lineRule="auto"/>
              <w:jc w:val="center"/>
              <w:rPr>
                <w:szCs w:val="21"/>
              </w:rPr>
            </w:pPr>
            <w:r>
              <w:rPr>
                <w:rFonts w:hint="eastAsia"/>
                <w:szCs w:val="21"/>
              </w:rPr>
              <w:t>污泥</w:t>
            </w:r>
          </w:p>
        </w:tc>
        <w:tc>
          <w:tcPr>
            <w:tcW w:w="1738" w:type="dxa"/>
            <w:vAlign w:val="center"/>
          </w:tcPr>
          <w:p>
            <w:pPr>
              <w:spacing w:line="360" w:lineRule="auto"/>
              <w:jc w:val="center"/>
              <w:rPr>
                <w:szCs w:val="21"/>
              </w:rPr>
            </w:pPr>
            <w:r>
              <w:rPr>
                <w:rFonts w:hint="eastAsia"/>
                <w:szCs w:val="21"/>
              </w:rPr>
              <w:t>少量</w:t>
            </w:r>
          </w:p>
        </w:tc>
        <w:tc>
          <w:tcPr>
            <w:tcW w:w="2072" w:type="dxa"/>
            <w:gridSpan w:val="2"/>
            <w:vAlign w:val="center"/>
          </w:tcPr>
          <w:p>
            <w:pPr>
              <w:spacing w:line="360" w:lineRule="auto"/>
              <w:jc w:val="center"/>
              <w:rPr>
                <w:szCs w:val="21"/>
              </w:rPr>
            </w:pPr>
            <w:r>
              <w:rPr>
                <w:rFonts w:hint="eastAsia"/>
                <w:szCs w:val="21"/>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1298" w:type="dxa"/>
            <w:gridSpan w:val="2"/>
            <w:vAlign w:val="center"/>
          </w:tcPr>
          <w:p>
            <w:pPr>
              <w:spacing w:line="360" w:lineRule="auto"/>
              <w:jc w:val="center"/>
              <w:rPr>
                <w:b/>
                <w:szCs w:val="21"/>
              </w:rPr>
            </w:pPr>
            <w:r>
              <w:rPr>
                <w:rFonts w:hint="eastAsia"/>
                <w:b/>
                <w:szCs w:val="21"/>
              </w:rPr>
              <w:t>其他</w:t>
            </w:r>
          </w:p>
        </w:tc>
        <w:tc>
          <w:tcPr>
            <w:tcW w:w="7154" w:type="dxa"/>
            <w:gridSpan w:val="7"/>
            <w:vAlign w:val="center"/>
          </w:tcPr>
          <w:p>
            <w:pPr>
              <w:spacing w:line="360" w:lineRule="auto"/>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jc w:val="center"/>
        </w:trPr>
        <w:tc>
          <w:tcPr>
            <w:tcW w:w="0" w:type="auto"/>
            <w:gridSpan w:val="9"/>
            <w:vAlign w:val="center"/>
          </w:tcPr>
          <w:p>
            <w:pPr>
              <w:spacing w:line="360" w:lineRule="auto"/>
              <w:rPr>
                <w:szCs w:val="21"/>
              </w:rPr>
            </w:pPr>
            <w:r>
              <w:rPr>
                <w:rFonts w:hint="eastAsia"/>
                <w:b/>
                <w:szCs w:val="21"/>
              </w:rPr>
              <w:t>主要生态影响</w:t>
            </w:r>
            <w:r>
              <w:rPr>
                <w:rFonts w:hint="eastAsia"/>
                <w:szCs w:val="21"/>
              </w:rPr>
              <w:t>（不够时可另附页）</w:t>
            </w:r>
          </w:p>
          <w:p>
            <w:pPr>
              <w:pStyle w:val="105"/>
              <w:spacing w:line="360" w:lineRule="auto"/>
              <w:ind w:firstLine="420" w:firstLineChars="200"/>
              <w:jc w:val="both"/>
              <w:textAlignment w:val="baseline"/>
              <w:rPr>
                <w:rFonts w:ascii="Times New Roman"/>
                <w:color w:val="auto"/>
                <w:sz w:val="21"/>
                <w:szCs w:val="21"/>
              </w:rPr>
            </w:pPr>
            <w:r>
              <w:rPr>
                <w:rFonts w:hint="eastAsia" w:ascii="Times New Roman"/>
                <w:color w:val="auto"/>
                <w:sz w:val="21"/>
                <w:szCs w:val="21"/>
              </w:rPr>
              <w:t>经核实，本项目选址不在河北省基本生态控制线范围内。</w:t>
            </w:r>
          </w:p>
          <w:p>
            <w:pPr>
              <w:pStyle w:val="105"/>
              <w:spacing w:line="360" w:lineRule="auto"/>
              <w:ind w:firstLine="420" w:firstLineChars="200"/>
              <w:jc w:val="both"/>
              <w:textAlignment w:val="baseline"/>
              <w:rPr>
                <w:rFonts w:ascii="Times New Roman"/>
                <w:color w:val="auto"/>
                <w:sz w:val="21"/>
                <w:szCs w:val="21"/>
              </w:rPr>
            </w:pPr>
            <w:r>
              <w:rPr>
                <w:rFonts w:hint="eastAsia" w:ascii="Times New Roman"/>
                <w:color w:val="auto"/>
                <w:sz w:val="21"/>
                <w:szCs w:val="21"/>
              </w:rPr>
              <w:t>本项目为新建项目，项目选址处周围植被较单一，无国家保护珍稀动植物及生态敏感保护目标等，施工期对环境影响较小。</w:t>
            </w:r>
          </w:p>
          <w:p>
            <w:pPr>
              <w:spacing w:line="360" w:lineRule="auto"/>
              <w:ind w:firstLine="420" w:firstLineChars="200"/>
              <w:rPr>
                <w:szCs w:val="21"/>
              </w:rPr>
            </w:pPr>
            <w:r>
              <w:rPr>
                <w:rFonts w:hint="eastAsia"/>
                <w:szCs w:val="21"/>
              </w:rPr>
              <w:t>项目营运期产生的生活废水、废气、噪声和固体废物经治理后对项目周围生态环境的微弱影响可以接受。</w:t>
            </w:r>
          </w:p>
        </w:tc>
      </w:tr>
    </w:tbl>
    <w:p>
      <w:pPr>
        <w:pStyle w:val="44"/>
        <w:spacing w:line="360" w:lineRule="auto"/>
        <w:ind w:firstLine="480"/>
      </w:pPr>
    </w:p>
    <w:p>
      <w:pPr>
        <w:spacing w:line="360" w:lineRule="auto"/>
        <w:outlineLvl w:val="0"/>
        <w:rPr>
          <w:b/>
          <w:bCs/>
          <w:sz w:val="28"/>
          <w:szCs w:val="24"/>
        </w:rPr>
      </w:pPr>
      <w:r>
        <w:rPr>
          <w:b/>
          <w:bCs/>
          <w:sz w:val="28"/>
          <w:szCs w:val="28"/>
        </w:rPr>
        <w:br w:type="page"/>
      </w:r>
      <w:r>
        <w:rPr>
          <w:b/>
          <w:bCs/>
          <w:sz w:val="28"/>
          <w:szCs w:val="24"/>
        </w:rPr>
        <w:t>环境影响分析</w:t>
      </w:r>
    </w:p>
    <w:tbl>
      <w:tblPr>
        <w:tblStyle w:val="27"/>
        <w:tblW w:w="8472"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7" w:hRule="atLeast"/>
        </w:trPr>
        <w:tc>
          <w:tcPr>
            <w:tcW w:w="8472" w:type="dxa"/>
          </w:tcPr>
          <w:p>
            <w:pPr>
              <w:spacing w:line="360" w:lineRule="auto"/>
              <w:jc w:val="left"/>
              <w:rPr>
                <w:b/>
                <w:bCs/>
                <w:sz w:val="24"/>
                <w:szCs w:val="24"/>
              </w:rPr>
            </w:pPr>
            <w:r>
              <w:rPr>
                <w:b/>
                <w:bCs/>
                <w:sz w:val="24"/>
                <w:szCs w:val="24"/>
              </w:rPr>
              <w:t>施工期环境影响简要分析：</w:t>
            </w:r>
          </w:p>
          <w:p>
            <w:pPr>
              <w:pStyle w:val="82"/>
              <w:ind w:firstLine="0" w:firstLineChars="0"/>
              <w:rPr>
                <w:b/>
                <w:bCs/>
                <w:szCs w:val="24"/>
              </w:rPr>
            </w:pPr>
            <w:r>
              <w:rPr>
                <w:rFonts w:hint="eastAsia"/>
                <w:b/>
                <w:bCs/>
                <w:szCs w:val="24"/>
              </w:rPr>
              <w:t>1、大气环境影响分析</w:t>
            </w:r>
          </w:p>
          <w:p>
            <w:pPr>
              <w:pStyle w:val="105"/>
              <w:spacing w:line="360" w:lineRule="auto"/>
              <w:ind w:firstLine="480" w:firstLineChars="200"/>
              <w:jc w:val="both"/>
              <w:rPr>
                <w:rFonts w:ascii="Times New Roman"/>
                <w:color w:val="auto"/>
              </w:rPr>
            </w:pPr>
            <w:r>
              <w:rPr>
                <w:rFonts w:hint="eastAsia" w:ascii="Times New Roman"/>
                <w:color w:val="auto"/>
              </w:rPr>
              <w:t>本工程施工期对环境空气影响最大的是施工扬尘，其次为部分施工动力设备及运输车辆运行产生的</w:t>
            </w:r>
            <w:r>
              <w:rPr>
                <w:rFonts w:ascii="Times New Roman" w:cs="Times New Roman"/>
                <w:color w:val="auto"/>
              </w:rPr>
              <w:t>NO</w:t>
            </w:r>
            <w:r>
              <w:rPr>
                <w:rFonts w:ascii="Times New Roman" w:cs="Times New Roman"/>
                <w:color w:val="auto"/>
                <w:vertAlign w:val="subscript"/>
              </w:rPr>
              <w:t>X</w:t>
            </w:r>
            <w:r>
              <w:rPr>
                <w:rFonts w:hint="eastAsia" w:ascii="Times New Roman"/>
                <w:color w:val="auto"/>
              </w:rPr>
              <w:t>、</w:t>
            </w:r>
            <w:r>
              <w:rPr>
                <w:rFonts w:ascii="Times New Roman" w:cs="Times New Roman"/>
                <w:color w:val="auto"/>
              </w:rPr>
              <w:t>CO</w:t>
            </w:r>
            <w:r>
              <w:rPr>
                <w:rFonts w:hint="eastAsia" w:ascii="Times New Roman"/>
                <w:color w:val="auto"/>
              </w:rPr>
              <w:t>以及装修过程中产生的有机废气。</w:t>
            </w:r>
          </w:p>
          <w:p>
            <w:pPr>
              <w:pStyle w:val="105"/>
              <w:spacing w:line="360" w:lineRule="auto"/>
              <w:ind w:firstLine="480"/>
              <w:jc w:val="both"/>
              <w:rPr>
                <w:rFonts w:ascii="Times New Roman"/>
                <w:color w:val="auto"/>
              </w:rPr>
            </w:pPr>
            <w:r>
              <w:rPr>
                <w:rFonts w:hint="eastAsia" w:ascii="Times New Roman"/>
                <w:color w:val="auto"/>
              </w:rPr>
              <w:t>（1）施工扬尘影响分析</w:t>
            </w:r>
          </w:p>
          <w:p>
            <w:pPr>
              <w:pStyle w:val="105"/>
              <w:spacing w:line="360" w:lineRule="auto"/>
              <w:ind w:firstLine="480" w:firstLineChars="200"/>
              <w:jc w:val="both"/>
              <w:rPr>
                <w:rFonts w:ascii="Times New Roman"/>
                <w:color w:val="auto"/>
              </w:rPr>
            </w:pPr>
            <w:r>
              <w:rPr>
                <w:rFonts w:ascii="Cambria Math" w:hAnsi="Cambria Math" w:cs="Cambria Math"/>
                <w:color w:val="auto"/>
              </w:rPr>
              <w:t>①</w:t>
            </w:r>
            <w:r>
              <w:rPr>
                <w:rFonts w:hint="eastAsia" w:ascii="Times New Roman"/>
                <w:color w:val="auto"/>
              </w:rPr>
              <w:t>施工作业扬尘</w:t>
            </w:r>
          </w:p>
          <w:p>
            <w:pPr>
              <w:autoSpaceDE w:val="0"/>
              <w:autoSpaceDN w:val="0"/>
              <w:spacing w:line="360" w:lineRule="auto"/>
              <w:ind w:firstLine="480" w:firstLineChars="200"/>
              <w:jc w:val="left"/>
              <w:textAlignment w:val="auto"/>
              <w:rPr>
                <w:rFonts w:cs="宋体"/>
                <w:sz w:val="24"/>
                <w:szCs w:val="24"/>
              </w:rPr>
            </w:pPr>
            <w:r>
              <w:rPr>
                <w:rFonts w:hint="eastAsia"/>
                <w:sz w:val="24"/>
                <w:szCs w:val="24"/>
              </w:rPr>
              <w:t>施工扬尘是指工程施工过程中产生的对大气造成污染的悬浮颗粒物和可吸入颗粒物等一般性粉尘，包括：砂石、灰土、灰浆、灰膏、工程渣土等物料。在施工阶段</w:t>
            </w:r>
            <w:r>
              <w:rPr>
                <w:rFonts w:hint="eastAsia" w:cs="宋体"/>
                <w:sz w:val="24"/>
                <w:szCs w:val="24"/>
              </w:rPr>
              <w:t>应禁止在大风天气施工作业、对场地洒水抑尘、配置工地细目滞尘防护网等措施，并对沉降的扬尘粉尘及时进行收集处理，对施工现场及场外道路泥土及时清理，加强建筑材料的运输、装卸过程中的管理。</w:t>
            </w:r>
          </w:p>
          <w:p>
            <w:pPr>
              <w:autoSpaceDE w:val="0"/>
              <w:autoSpaceDN w:val="0"/>
              <w:spacing w:line="360" w:lineRule="auto"/>
              <w:ind w:firstLine="480" w:firstLineChars="200"/>
              <w:jc w:val="left"/>
              <w:textAlignment w:val="auto"/>
              <w:rPr>
                <w:rFonts w:cs="宋体"/>
                <w:sz w:val="24"/>
                <w:szCs w:val="24"/>
              </w:rPr>
            </w:pPr>
            <w:r>
              <w:rPr>
                <w:rFonts w:hint="eastAsia" w:cs="宋体"/>
                <w:sz w:val="24"/>
                <w:szCs w:val="24"/>
              </w:rPr>
              <w:t>通过以上措施可有效减少施工扬尘及粉尘对环境的影响。</w:t>
            </w:r>
          </w:p>
          <w:p>
            <w:pPr>
              <w:pStyle w:val="105"/>
              <w:spacing w:line="360" w:lineRule="auto"/>
              <w:ind w:firstLine="480" w:firstLineChars="200"/>
              <w:jc w:val="both"/>
              <w:rPr>
                <w:rFonts w:ascii="Times New Roman"/>
                <w:color w:val="auto"/>
              </w:rPr>
            </w:pPr>
            <w:r>
              <w:rPr>
                <w:rFonts w:ascii="Cambria Math" w:hAnsi="Cambria Math" w:cs="Cambria Math"/>
                <w:color w:val="auto"/>
              </w:rPr>
              <w:t>②</w:t>
            </w:r>
            <w:r>
              <w:rPr>
                <w:rFonts w:hint="eastAsia" w:ascii="Times New Roman"/>
                <w:color w:val="auto"/>
              </w:rPr>
              <w:t>运输车辆道路扬尘</w:t>
            </w:r>
          </w:p>
          <w:p>
            <w:pPr>
              <w:autoSpaceDE w:val="0"/>
              <w:autoSpaceDN w:val="0"/>
              <w:spacing w:line="360" w:lineRule="auto"/>
              <w:ind w:firstLine="480" w:firstLineChars="200"/>
              <w:jc w:val="left"/>
              <w:textAlignment w:val="auto"/>
              <w:rPr>
                <w:sz w:val="24"/>
                <w:szCs w:val="24"/>
              </w:rPr>
            </w:pPr>
            <w:r>
              <w:rPr>
                <w:rFonts w:hint="eastAsia"/>
                <w:sz w:val="24"/>
                <w:szCs w:val="24"/>
              </w:rPr>
              <w:t>如果在施工期间对车辆行驶的路面洒水抑尘，每天洒水</w:t>
            </w:r>
            <w:r>
              <w:rPr>
                <w:sz w:val="24"/>
                <w:szCs w:val="24"/>
              </w:rPr>
              <w:t>4</w:t>
            </w:r>
            <w:r>
              <w:rPr>
                <w:rFonts w:hint="eastAsia"/>
                <w:sz w:val="24"/>
                <w:szCs w:val="24"/>
              </w:rPr>
              <w:t>～</w:t>
            </w:r>
            <w:r>
              <w:rPr>
                <w:sz w:val="24"/>
                <w:szCs w:val="24"/>
              </w:rPr>
              <w:t>5</w:t>
            </w:r>
            <w:r>
              <w:rPr>
                <w:rFonts w:hint="eastAsia"/>
                <w:sz w:val="24"/>
                <w:szCs w:val="24"/>
              </w:rPr>
              <w:t>次，扬尘可减少</w:t>
            </w:r>
            <w:r>
              <w:rPr>
                <w:sz w:val="24"/>
                <w:szCs w:val="24"/>
              </w:rPr>
              <w:t>70%</w:t>
            </w:r>
            <w:r>
              <w:rPr>
                <w:rFonts w:hint="eastAsia"/>
                <w:sz w:val="24"/>
                <w:szCs w:val="24"/>
              </w:rPr>
              <w:t>左右。施工期施工车辆进出产生车辆扬尘。车辆出工地前应尽可能清除表面粘附的泥土料等，表面应采取遮蓬遮盖，防止产生大量扬尘，渣土应尽早清运。</w:t>
            </w:r>
          </w:p>
          <w:p>
            <w:pPr>
              <w:pStyle w:val="105"/>
              <w:spacing w:line="360" w:lineRule="auto"/>
              <w:ind w:firstLine="480" w:firstLineChars="200"/>
              <w:jc w:val="both"/>
              <w:rPr>
                <w:rFonts w:ascii="Times New Roman"/>
                <w:color w:val="auto"/>
              </w:rPr>
            </w:pPr>
            <w:r>
              <w:rPr>
                <w:rFonts w:hint="eastAsia" w:ascii="Times New Roman"/>
                <w:color w:val="auto"/>
              </w:rPr>
              <w:t>（</w:t>
            </w:r>
            <w:r>
              <w:rPr>
                <w:rFonts w:ascii="Times New Roman" w:cs="Times New Roman"/>
                <w:color w:val="auto"/>
              </w:rPr>
              <w:t>2</w:t>
            </w:r>
            <w:r>
              <w:rPr>
                <w:rFonts w:hint="eastAsia" w:ascii="Times New Roman"/>
                <w:color w:val="auto"/>
              </w:rPr>
              <w:t>）施工机械废气及车辆尾气影响分析</w:t>
            </w:r>
          </w:p>
          <w:p>
            <w:pPr>
              <w:pStyle w:val="44"/>
              <w:spacing w:line="360" w:lineRule="auto"/>
              <w:ind w:firstLine="480"/>
              <w:rPr>
                <w:szCs w:val="24"/>
              </w:rPr>
            </w:pPr>
            <w:r>
              <w:rPr>
                <w:rFonts w:hint="eastAsia"/>
                <w:szCs w:val="24"/>
              </w:rPr>
              <w:t>本项目施工过程用到的施工机械，主要有挖掘机、装载机、推土机、平地机等机械，它们在运行中都会产生一定量的废气，其排放量不大，影响范围比较局部，因此，施工期间主要通过加强管理，减轻机械、货车发动机在怠速状下有害气体的排放，并应采用高品质燃料以减少尾气排放。同时，施工单位必须使用符合国家污染物排放标准的运输车辆，加强车辆的保养，使车辆处于良好的工作状态，严禁使用报废车辆，以减少施工车辆尾气对周围环境的影响。</w:t>
            </w:r>
          </w:p>
          <w:p>
            <w:pPr>
              <w:pStyle w:val="105"/>
              <w:spacing w:line="360" w:lineRule="auto"/>
              <w:ind w:firstLine="480" w:firstLineChars="200"/>
              <w:jc w:val="both"/>
              <w:rPr>
                <w:rFonts w:ascii="Times New Roman"/>
                <w:color w:val="auto"/>
              </w:rPr>
            </w:pPr>
            <w:r>
              <w:rPr>
                <w:rFonts w:hint="eastAsia" w:ascii="Times New Roman"/>
                <w:color w:val="auto"/>
              </w:rPr>
              <w:t>（</w:t>
            </w:r>
            <w:r>
              <w:rPr>
                <w:rFonts w:ascii="Times New Roman" w:cs="Times New Roman"/>
                <w:color w:val="auto"/>
              </w:rPr>
              <w:t>3</w:t>
            </w:r>
            <w:r>
              <w:rPr>
                <w:rFonts w:hint="eastAsia" w:ascii="Times New Roman"/>
                <w:color w:val="auto"/>
              </w:rPr>
              <w:t>）装修废气影响分析</w:t>
            </w:r>
          </w:p>
          <w:p>
            <w:pPr>
              <w:pStyle w:val="44"/>
              <w:spacing w:line="360" w:lineRule="auto"/>
              <w:ind w:firstLine="480"/>
              <w:rPr>
                <w:szCs w:val="24"/>
              </w:rPr>
            </w:pPr>
            <w:r>
              <w:rPr>
                <w:rFonts w:hint="eastAsia"/>
                <w:szCs w:val="24"/>
              </w:rPr>
              <w:t>装修工程中使用的材料和涂料在制造的过程中使用了甲醛、苯及苯系物、卤化物溶剂等，可对装修后的室内环境产生影响，不合格的装修材料都会对人体健康产生伤害。</w:t>
            </w:r>
            <w:r>
              <w:rPr>
                <w:rFonts w:hint="eastAsia"/>
              </w:rPr>
              <w:t>项目在选择装修材料和涂料的时候应选用对环境污染小、有益于人体健康的建筑材料产品，室内装修材料应采用符合国家现行有关标准规定的环保型装修材料。装修过程严格按照《民用建筑工程室内环境污染控制规范》（</w:t>
            </w:r>
            <w:r>
              <w:rPr>
                <w:rFonts w:cs="Times New Roman"/>
              </w:rPr>
              <w:t>GB50325-2001</w:t>
            </w:r>
            <w:r>
              <w:rPr>
                <w:rFonts w:hint="eastAsia"/>
              </w:rPr>
              <w:t>）要求，控制装修室内环境污染，降低对大气环境的影响。</w:t>
            </w:r>
          </w:p>
          <w:p>
            <w:pPr>
              <w:pStyle w:val="82"/>
              <w:ind w:firstLine="0" w:firstLineChars="0"/>
              <w:rPr>
                <w:b/>
                <w:bCs/>
                <w:szCs w:val="24"/>
              </w:rPr>
            </w:pPr>
            <w:r>
              <w:rPr>
                <w:rFonts w:hint="eastAsia"/>
                <w:b/>
                <w:bCs/>
                <w:szCs w:val="24"/>
              </w:rPr>
              <w:t>2、水环境影响分析</w:t>
            </w:r>
          </w:p>
          <w:p>
            <w:pPr>
              <w:pStyle w:val="105"/>
              <w:spacing w:line="360" w:lineRule="auto"/>
              <w:ind w:firstLine="480" w:firstLineChars="200"/>
              <w:jc w:val="both"/>
              <w:rPr>
                <w:rFonts w:ascii="Times New Roman"/>
                <w:color w:val="auto"/>
              </w:rPr>
            </w:pPr>
            <w:r>
              <w:rPr>
                <w:rFonts w:hint="eastAsia" w:ascii="Times New Roman"/>
                <w:color w:val="auto"/>
              </w:rPr>
              <w:t>生活污水：本项目施工期施工人员生活污水排放量为</w:t>
            </w:r>
            <w:r>
              <w:rPr>
                <w:rFonts w:ascii="Times New Roman"/>
                <w:color w:val="auto"/>
              </w:rPr>
              <w:t>3.2</w:t>
            </w:r>
            <w:r>
              <w:rPr>
                <w:rFonts w:hint="eastAsia" w:ascii="Times New Roman"/>
                <w:color w:val="auto"/>
              </w:rPr>
              <w:t>m</w:t>
            </w:r>
            <w:r>
              <w:rPr>
                <w:rFonts w:hint="eastAsia" w:ascii="Times New Roman"/>
                <w:color w:val="auto"/>
                <w:vertAlign w:val="superscript"/>
              </w:rPr>
              <w:t>3</w:t>
            </w:r>
            <w:r>
              <w:rPr>
                <w:rFonts w:ascii="Times New Roman"/>
                <w:color w:val="auto"/>
              </w:rPr>
              <w:t>/d</w:t>
            </w:r>
            <w:r>
              <w:rPr>
                <w:rFonts w:hint="eastAsia" w:ascii="Times New Roman"/>
                <w:color w:val="auto"/>
              </w:rPr>
              <w:t>，整个施工期污水总排放量为</w:t>
            </w:r>
            <w:r>
              <w:rPr>
                <w:rFonts w:ascii="Times New Roman"/>
                <w:color w:val="auto"/>
              </w:rPr>
              <w:t>864</w:t>
            </w:r>
            <w:r>
              <w:rPr>
                <w:rFonts w:hint="eastAsia" w:ascii="Times New Roman"/>
                <w:color w:val="auto"/>
              </w:rPr>
              <w:t>m</w:t>
            </w:r>
            <w:r>
              <w:rPr>
                <w:rFonts w:ascii="Times New Roman"/>
                <w:color w:val="auto"/>
                <w:vertAlign w:val="superscript"/>
              </w:rPr>
              <w:t>3</w:t>
            </w:r>
            <w:r>
              <w:rPr>
                <w:rFonts w:hint="eastAsia" w:ascii="Times New Roman"/>
                <w:color w:val="auto"/>
              </w:rPr>
              <w:t>（施工周期</w:t>
            </w:r>
            <w:r>
              <w:rPr>
                <w:rFonts w:ascii="Times New Roman"/>
                <w:color w:val="auto"/>
              </w:rPr>
              <w:t>9</w:t>
            </w:r>
            <w:r>
              <w:rPr>
                <w:rFonts w:hint="eastAsia" w:ascii="Times New Roman"/>
                <w:color w:val="auto"/>
              </w:rPr>
              <w:t>个月）。施工期生活污水排入防渗旱厕，定期用密闭罐车定期拉运至污水处理厂进行后续处理。</w:t>
            </w:r>
          </w:p>
          <w:p>
            <w:pPr>
              <w:pStyle w:val="44"/>
              <w:spacing w:line="360" w:lineRule="auto"/>
              <w:ind w:firstLine="480"/>
              <w:rPr>
                <w:szCs w:val="24"/>
              </w:rPr>
            </w:pPr>
            <w:r>
              <w:rPr>
                <w:rFonts w:hint="eastAsia"/>
                <w:szCs w:val="24"/>
              </w:rPr>
              <w:t>施工废水：施工废水主要为场地冲洗、车辆设备洗涤、建材清洗等产生的施工余水和废水，主要污染物为</w:t>
            </w:r>
            <w:r>
              <w:rPr>
                <w:szCs w:val="24"/>
              </w:rPr>
              <w:t>SS</w:t>
            </w:r>
            <w:r>
              <w:rPr>
                <w:rFonts w:hint="eastAsia"/>
                <w:szCs w:val="24"/>
              </w:rPr>
              <w:t>和石油类。施工废水经隔油沉淀后，全部用于施工场地洒水抑尘、周边植被绿化。</w:t>
            </w:r>
          </w:p>
          <w:p>
            <w:pPr>
              <w:pStyle w:val="82"/>
              <w:ind w:firstLine="0" w:firstLineChars="0"/>
              <w:rPr>
                <w:b/>
                <w:szCs w:val="24"/>
              </w:rPr>
            </w:pPr>
            <w:r>
              <w:rPr>
                <w:rFonts w:hint="eastAsia"/>
                <w:b/>
                <w:szCs w:val="24"/>
              </w:rPr>
              <w:t>3、声环境影响分析</w:t>
            </w:r>
          </w:p>
          <w:p>
            <w:pPr>
              <w:autoSpaceDE w:val="0"/>
              <w:autoSpaceDN w:val="0"/>
              <w:spacing w:line="360" w:lineRule="auto"/>
              <w:ind w:firstLine="480" w:firstLineChars="200"/>
              <w:jc w:val="left"/>
              <w:textAlignment w:val="auto"/>
              <w:rPr>
                <w:rFonts w:cs="宋体"/>
                <w:sz w:val="24"/>
                <w:szCs w:val="24"/>
              </w:rPr>
            </w:pPr>
            <w:r>
              <w:rPr>
                <w:rFonts w:hint="eastAsia" w:cs="宋体"/>
                <w:sz w:val="24"/>
                <w:szCs w:val="24"/>
              </w:rPr>
              <w:t>施工期噪声污染主要来自施工过程中使用的各种机械、工具以及运输车辆行驶产生的车辆噪声。施工期的噪声间歇排放，且随着施工结束排放停止。为减小施工期噪声对附近居民的影响，具体的噪声防治措施如下：</w:t>
            </w:r>
            <w:r>
              <w:rPr>
                <w:rFonts w:cs="宋体"/>
                <w:sz w:val="24"/>
                <w:szCs w:val="24"/>
              </w:rPr>
              <w:t xml:space="preserve"> </w:t>
            </w:r>
          </w:p>
          <w:p>
            <w:pPr>
              <w:pStyle w:val="105"/>
              <w:spacing w:line="360" w:lineRule="auto"/>
              <w:ind w:firstLine="480" w:firstLineChars="200"/>
              <w:jc w:val="both"/>
              <w:rPr>
                <w:rFonts w:ascii="Times New Roman"/>
                <w:color w:val="auto"/>
              </w:rPr>
            </w:pPr>
            <w:r>
              <w:rPr>
                <w:rFonts w:hint="eastAsia" w:ascii="Times New Roman"/>
                <w:color w:val="auto"/>
              </w:rPr>
              <w:t>（</w:t>
            </w:r>
            <w:r>
              <w:rPr>
                <w:rFonts w:ascii="Times New Roman" w:cs="Times New Roman"/>
                <w:color w:val="auto"/>
              </w:rPr>
              <w:t>1</w:t>
            </w:r>
            <w:r>
              <w:rPr>
                <w:rFonts w:hint="eastAsia" w:ascii="Times New Roman"/>
                <w:color w:val="auto"/>
              </w:rPr>
              <w:t>）施工期间必须按《建设施工场界环境噪声排放标准》（</w:t>
            </w:r>
            <w:r>
              <w:rPr>
                <w:rFonts w:ascii="Times New Roman" w:cs="Times New Roman"/>
                <w:color w:val="auto"/>
              </w:rPr>
              <w:t>GB12523-2011</w:t>
            </w:r>
            <w:r>
              <w:rPr>
                <w:rFonts w:hint="eastAsia" w:ascii="Times New Roman"/>
                <w:color w:val="auto"/>
              </w:rPr>
              <w:t>）的要求对施工时间进行控制，在中午</w:t>
            </w:r>
            <w:r>
              <w:rPr>
                <w:rFonts w:ascii="Times New Roman" w:cs="Times New Roman"/>
                <w:color w:val="auto"/>
              </w:rPr>
              <w:t>12</w:t>
            </w:r>
            <w:r>
              <w:rPr>
                <w:rFonts w:hint="eastAsia" w:ascii="Times New Roman"/>
                <w:color w:val="auto"/>
              </w:rPr>
              <w:t>时至</w:t>
            </w:r>
            <w:r>
              <w:rPr>
                <w:rFonts w:ascii="Times New Roman" w:cs="Times New Roman"/>
                <w:color w:val="auto"/>
              </w:rPr>
              <w:t>14</w:t>
            </w:r>
            <w:r>
              <w:rPr>
                <w:rFonts w:hint="eastAsia" w:ascii="Times New Roman"/>
                <w:color w:val="auto"/>
              </w:rPr>
              <w:t>时，不得进行高噪声作业，夜间</w:t>
            </w:r>
            <w:r>
              <w:rPr>
                <w:rFonts w:ascii="Times New Roman" w:cs="Times New Roman"/>
                <w:color w:val="auto"/>
              </w:rPr>
              <w:t>23：00</w:t>
            </w:r>
            <w:r>
              <w:rPr>
                <w:rFonts w:hint="eastAsia" w:ascii="Times New Roman"/>
                <w:color w:val="auto"/>
              </w:rPr>
              <w:t>时至第二天早上</w:t>
            </w:r>
            <w:r>
              <w:rPr>
                <w:rFonts w:ascii="Times New Roman" w:cs="Times New Roman"/>
                <w:color w:val="auto"/>
              </w:rPr>
              <w:t>7</w:t>
            </w:r>
            <w:r>
              <w:rPr>
                <w:rFonts w:hint="eastAsia" w:ascii="Times New Roman"/>
                <w:color w:val="auto"/>
              </w:rPr>
              <w:t>：</w:t>
            </w:r>
            <w:r>
              <w:rPr>
                <w:rFonts w:ascii="Times New Roman" w:cs="Times New Roman"/>
                <w:color w:val="auto"/>
              </w:rPr>
              <w:t>00</w:t>
            </w:r>
            <w:r>
              <w:rPr>
                <w:rFonts w:hint="eastAsia" w:ascii="Times New Roman"/>
                <w:color w:val="auto"/>
              </w:rPr>
              <w:t>时禁止施工；</w:t>
            </w:r>
          </w:p>
          <w:p>
            <w:pPr>
              <w:pStyle w:val="105"/>
              <w:spacing w:line="360" w:lineRule="auto"/>
              <w:ind w:firstLine="480" w:firstLineChars="200"/>
              <w:jc w:val="both"/>
              <w:rPr>
                <w:rFonts w:ascii="Times New Roman"/>
                <w:color w:val="auto"/>
              </w:rPr>
            </w:pPr>
            <w:r>
              <w:rPr>
                <w:rFonts w:hint="eastAsia" w:ascii="Times New Roman"/>
                <w:color w:val="auto"/>
              </w:rPr>
              <w:t>（</w:t>
            </w:r>
            <w:r>
              <w:rPr>
                <w:rFonts w:ascii="Times New Roman" w:cs="Times New Roman"/>
                <w:color w:val="auto"/>
              </w:rPr>
              <w:t>2</w:t>
            </w:r>
            <w:r>
              <w:rPr>
                <w:rFonts w:hint="eastAsia" w:ascii="Times New Roman"/>
                <w:color w:val="auto"/>
              </w:rPr>
              <w:t>）施工单位应尽量选用先进的施工工艺和低噪声设备；</w:t>
            </w:r>
          </w:p>
          <w:p>
            <w:pPr>
              <w:pStyle w:val="105"/>
              <w:spacing w:line="360" w:lineRule="auto"/>
              <w:ind w:firstLine="480" w:firstLineChars="200"/>
              <w:jc w:val="both"/>
              <w:rPr>
                <w:rFonts w:ascii="Times New Roman"/>
                <w:color w:val="auto"/>
              </w:rPr>
            </w:pPr>
            <w:r>
              <w:rPr>
                <w:rFonts w:hint="eastAsia" w:ascii="Times New Roman"/>
                <w:color w:val="auto"/>
              </w:rPr>
              <w:t>（</w:t>
            </w:r>
            <w:r>
              <w:rPr>
                <w:rFonts w:ascii="Times New Roman" w:cs="Times New Roman"/>
                <w:color w:val="auto"/>
              </w:rPr>
              <w:t>3</w:t>
            </w:r>
            <w:r>
              <w:rPr>
                <w:rFonts w:hint="eastAsia" w:ascii="Times New Roman"/>
                <w:color w:val="auto"/>
              </w:rPr>
              <w:t>）在高噪声设备周围设置屏障以减轻噪声对周围环境的影响；</w:t>
            </w:r>
          </w:p>
          <w:p>
            <w:pPr>
              <w:pStyle w:val="105"/>
              <w:spacing w:line="360" w:lineRule="auto"/>
              <w:ind w:firstLine="480" w:firstLineChars="200"/>
              <w:jc w:val="both"/>
              <w:rPr>
                <w:rFonts w:ascii="Times New Roman"/>
                <w:color w:val="auto"/>
              </w:rPr>
            </w:pPr>
            <w:r>
              <w:rPr>
                <w:rFonts w:hint="eastAsia" w:ascii="Times New Roman"/>
                <w:color w:val="auto"/>
              </w:rPr>
              <w:t>（</w:t>
            </w:r>
            <w:r>
              <w:rPr>
                <w:rFonts w:ascii="Times New Roman" w:cs="Times New Roman"/>
                <w:color w:val="auto"/>
              </w:rPr>
              <w:t>4</w:t>
            </w:r>
            <w:r>
              <w:rPr>
                <w:rFonts w:hint="eastAsia" w:ascii="Times New Roman"/>
                <w:color w:val="auto"/>
              </w:rPr>
              <w:t>）加强施工机械的维修、管理，保证施工机械处于低噪声、高效率的状态。</w:t>
            </w:r>
          </w:p>
          <w:p>
            <w:pPr>
              <w:pStyle w:val="44"/>
              <w:spacing w:line="360" w:lineRule="auto"/>
              <w:ind w:firstLine="480"/>
              <w:rPr>
                <w:szCs w:val="24"/>
              </w:rPr>
            </w:pPr>
            <w:r>
              <w:rPr>
                <w:rFonts w:hint="eastAsia"/>
                <w:szCs w:val="24"/>
              </w:rPr>
              <w:t>经采取上述措施之后，本项目施工期产生的噪声可以满足《建设施工场界环境噪声排放标准》（</w:t>
            </w:r>
            <w:r>
              <w:rPr>
                <w:rFonts w:cs="Times New Roman"/>
                <w:szCs w:val="24"/>
              </w:rPr>
              <w:t>GB12523-2011</w:t>
            </w:r>
            <w:r>
              <w:rPr>
                <w:rFonts w:hint="eastAsia"/>
                <w:szCs w:val="24"/>
              </w:rPr>
              <w:t>）的要求，对周边声环境影响较小。</w:t>
            </w:r>
          </w:p>
          <w:p>
            <w:pPr>
              <w:pStyle w:val="82"/>
              <w:ind w:firstLine="0" w:firstLineChars="0"/>
              <w:rPr>
                <w:b/>
                <w:szCs w:val="24"/>
              </w:rPr>
            </w:pPr>
            <w:r>
              <w:rPr>
                <w:rFonts w:hint="eastAsia"/>
                <w:b/>
                <w:szCs w:val="24"/>
              </w:rPr>
              <w:t>4、固废影响分析</w:t>
            </w:r>
          </w:p>
          <w:p>
            <w:pPr>
              <w:pStyle w:val="44"/>
              <w:spacing w:line="360" w:lineRule="auto"/>
              <w:ind w:firstLine="480"/>
              <w:rPr>
                <w:szCs w:val="24"/>
              </w:rPr>
            </w:pPr>
            <w:r>
              <w:rPr>
                <w:rFonts w:hint="eastAsia"/>
                <w:szCs w:val="24"/>
              </w:rPr>
              <w:t>项目在施工期产生的固体废弃物主要为建筑垃圾和生活垃圾。</w:t>
            </w:r>
          </w:p>
          <w:p>
            <w:pPr>
              <w:pStyle w:val="105"/>
              <w:spacing w:line="360" w:lineRule="auto"/>
              <w:ind w:firstLine="480" w:firstLineChars="200"/>
              <w:jc w:val="both"/>
              <w:rPr>
                <w:rFonts w:ascii="Times New Roman"/>
                <w:color w:val="auto"/>
              </w:rPr>
            </w:pPr>
            <w:r>
              <w:rPr>
                <w:rFonts w:hint="eastAsia" w:ascii="Times New Roman"/>
                <w:color w:val="auto"/>
              </w:rPr>
              <w:t>施工期的建筑垃圾，应分类后回收利用，评价要求对于无利用价值的废弃物应按市政管理部门的要求运往指定地点处理处置，而不能随意丢弃倾倒，以减少对周围环境的影响。另外，建设单位须要求施工单位规范运输，不能随地洒落物料，不能随意倾倒、堆放建筑垃圾，施工结束后应及时清运多余或废弃的建筑材料或建筑垃圾。</w:t>
            </w:r>
          </w:p>
          <w:p>
            <w:pPr>
              <w:pStyle w:val="44"/>
              <w:spacing w:line="360" w:lineRule="auto"/>
              <w:ind w:firstLine="480"/>
              <w:rPr>
                <w:szCs w:val="24"/>
              </w:rPr>
            </w:pPr>
            <w:r>
              <w:rPr>
                <w:rFonts w:hint="eastAsia"/>
                <w:szCs w:val="24"/>
              </w:rPr>
              <w:t>本项目施工期产生的生活垃圾约</w:t>
            </w:r>
            <w:r>
              <w:rPr>
                <w:rFonts w:cs="Times New Roman"/>
                <w:szCs w:val="24"/>
              </w:rPr>
              <w:t>25</w:t>
            </w:r>
            <w:r>
              <w:rPr>
                <w:rFonts w:hint="eastAsia" w:cs="Times New Roman"/>
                <w:szCs w:val="24"/>
              </w:rPr>
              <w:t>kg</w:t>
            </w:r>
            <w:r>
              <w:rPr>
                <w:rFonts w:cs="Times New Roman"/>
                <w:szCs w:val="24"/>
              </w:rPr>
              <w:t>/</w:t>
            </w:r>
            <w:r>
              <w:rPr>
                <w:rFonts w:hint="eastAsia" w:cs="Times New Roman"/>
                <w:szCs w:val="24"/>
              </w:rPr>
              <w:t>d</w:t>
            </w:r>
            <w:r>
              <w:rPr>
                <w:rFonts w:hint="eastAsia"/>
                <w:szCs w:val="24"/>
              </w:rPr>
              <w:t>，应设置临时垃圾箱（筒）收集施工人员的生活垃圾，并交由环卫部门统一清运处理。</w:t>
            </w:r>
          </w:p>
          <w:p>
            <w:pPr>
              <w:pStyle w:val="82"/>
              <w:ind w:firstLine="480"/>
              <w:rPr>
                <w:szCs w:val="24"/>
              </w:rPr>
            </w:pPr>
            <w:r>
              <w:rPr>
                <w:rFonts w:hint="eastAsia"/>
                <w:szCs w:val="24"/>
              </w:rPr>
              <w:t>通过上述污染防治措施的实施，施工期固废对周围环境的影响较小。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trPr>
        <w:tc>
          <w:tcPr>
            <w:tcW w:w="8472" w:type="dxa"/>
          </w:tcPr>
          <w:p>
            <w:pPr>
              <w:spacing w:line="360" w:lineRule="auto"/>
              <w:jc w:val="left"/>
              <w:rPr>
                <w:b/>
                <w:sz w:val="24"/>
                <w:szCs w:val="24"/>
              </w:rPr>
            </w:pPr>
            <w:r>
              <w:rPr>
                <w:b/>
                <w:bCs/>
                <w:sz w:val="24"/>
                <w:szCs w:val="24"/>
              </w:rPr>
              <w:t>营运期环境影响分析：</w:t>
            </w:r>
          </w:p>
          <w:p>
            <w:pPr>
              <w:spacing w:line="360" w:lineRule="auto"/>
              <w:jc w:val="left"/>
              <w:rPr>
                <w:b/>
                <w:sz w:val="24"/>
                <w:szCs w:val="24"/>
              </w:rPr>
            </w:pPr>
            <w:r>
              <w:rPr>
                <w:b/>
                <w:sz w:val="24"/>
                <w:szCs w:val="24"/>
              </w:rPr>
              <w:t>（一）大气环境影响分析</w:t>
            </w:r>
          </w:p>
          <w:p>
            <w:pPr>
              <w:spacing w:line="360" w:lineRule="auto"/>
              <w:ind w:firstLine="480" w:firstLineChars="200"/>
              <w:rPr>
                <w:sz w:val="24"/>
                <w:szCs w:val="24"/>
              </w:rPr>
            </w:pPr>
            <w:r>
              <w:rPr>
                <w:rFonts w:hint="eastAsia"/>
                <w:sz w:val="24"/>
                <w:szCs w:val="24"/>
              </w:rPr>
              <w:t>（1）垃圾转运站恶臭</w:t>
            </w:r>
          </w:p>
          <w:p>
            <w:pPr>
              <w:autoSpaceDE w:val="0"/>
              <w:autoSpaceDN w:val="0"/>
              <w:spacing w:line="360" w:lineRule="auto"/>
              <w:ind w:firstLine="480" w:firstLineChars="200"/>
              <w:jc w:val="left"/>
              <w:textAlignment w:val="auto"/>
              <w:rPr>
                <w:rFonts w:cs="宋体"/>
                <w:sz w:val="24"/>
                <w:szCs w:val="24"/>
              </w:rPr>
            </w:pPr>
            <w:r>
              <w:rPr>
                <w:rFonts w:hint="eastAsia" w:cs="宋体"/>
                <w:sz w:val="24"/>
                <w:szCs w:val="24"/>
              </w:rPr>
              <w:t>项目主要大气污染为垃圾异味、粉尘，由于生活垃圾中含有各类易发酵的有机物，尤其是在夏季气温较高时，生活垃圾在堆存、压装、运输过程中会散发出较难闻的异味气体，这些异味物质主要包括氨、硫化氢、有机胺、甲烷等异味气体。异味污染主要是通过人的嗅觉来影响环境。根据对国内现有垃圾转运站污染物排放情况调查，转运站的废气主要来自于转运车间、垃圾倾倒和压缩过程（污染源主要集中在卸料区和压缩区），废气中主要污染物以粉尘、硫化氢和氨为主。</w:t>
            </w:r>
          </w:p>
          <w:p>
            <w:pPr>
              <w:autoSpaceDE w:val="0"/>
              <w:autoSpaceDN w:val="0"/>
              <w:spacing w:line="360" w:lineRule="auto"/>
              <w:ind w:firstLine="480" w:firstLineChars="200"/>
              <w:jc w:val="left"/>
              <w:textAlignment w:val="auto"/>
              <w:rPr>
                <w:sz w:val="24"/>
                <w:szCs w:val="24"/>
                <w:highlight w:val="yellow"/>
              </w:rPr>
            </w:pPr>
            <w:r>
              <w:rPr>
                <w:rFonts w:hint="eastAsia"/>
                <w:sz w:val="24"/>
                <w:szCs w:val="24"/>
              </w:rPr>
              <w:t>本项目</w:t>
            </w:r>
            <w:r>
              <w:rPr>
                <w:sz w:val="24"/>
                <w:szCs w:val="24"/>
              </w:rPr>
              <w:t>NH</w:t>
            </w:r>
            <w:r>
              <w:rPr>
                <w:sz w:val="24"/>
                <w:szCs w:val="24"/>
                <w:vertAlign w:val="subscript"/>
              </w:rPr>
              <w:t>3</w:t>
            </w:r>
            <w:r>
              <w:rPr>
                <w:rFonts w:hint="eastAsia"/>
                <w:sz w:val="24"/>
                <w:szCs w:val="24"/>
              </w:rPr>
              <w:t>产生总量为3.09t/a，H</w:t>
            </w:r>
            <w:r>
              <w:rPr>
                <w:rFonts w:hint="eastAsia"/>
                <w:sz w:val="24"/>
                <w:szCs w:val="24"/>
                <w:vertAlign w:val="subscript"/>
              </w:rPr>
              <w:t>2</w:t>
            </w:r>
            <w:r>
              <w:rPr>
                <w:rFonts w:hint="eastAsia"/>
                <w:sz w:val="24"/>
                <w:szCs w:val="24"/>
              </w:rPr>
              <w:t>S产生总量为0.315t/a，主城区垃圾转运站</w:t>
            </w:r>
            <w:r>
              <w:rPr>
                <w:sz w:val="24"/>
                <w:szCs w:val="24"/>
              </w:rPr>
              <w:t>NH</w:t>
            </w:r>
            <w:r>
              <w:rPr>
                <w:sz w:val="24"/>
                <w:szCs w:val="24"/>
                <w:vertAlign w:val="subscript"/>
              </w:rPr>
              <w:t>3</w:t>
            </w:r>
            <w:r>
              <w:rPr>
                <w:rFonts w:hint="eastAsia"/>
                <w:sz w:val="24"/>
                <w:szCs w:val="24"/>
              </w:rPr>
              <w:t>产生总量为</w:t>
            </w:r>
            <w:r>
              <w:rPr>
                <w:sz w:val="24"/>
                <w:szCs w:val="24"/>
              </w:rPr>
              <w:t>2.65</w:t>
            </w:r>
            <w:r>
              <w:rPr>
                <w:rFonts w:hint="eastAsia"/>
                <w:sz w:val="24"/>
                <w:szCs w:val="24"/>
              </w:rPr>
              <w:t>t/a，H</w:t>
            </w:r>
            <w:r>
              <w:rPr>
                <w:rFonts w:hint="eastAsia"/>
                <w:sz w:val="24"/>
                <w:szCs w:val="24"/>
                <w:vertAlign w:val="subscript"/>
              </w:rPr>
              <w:t>2</w:t>
            </w:r>
            <w:r>
              <w:rPr>
                <w:rFonts w:hint="eastAsia"/>
                <w:sz w:val="24"/>
                <w:szCs w:val="24"/>
              </w:rPr>
              <w:t>S产生总量为</w:t>
            </w:r>
            <w:r>
              <w:rPr>
                <w:sz w:val="24"/>
                <w:szCs w:val="24"/>
              </w:rPr>
              <w:t>0.27</w:t>
            </w:r>
            <w:r>
              <w:rPr>
                <w:rFonts w:hint="eastAsia"/>
                <w:sz w:val="24"/>
                <w:szCs w:val="24"/>
              </w:rPr>
              <w:t>t/a；寿王坟镇垃圾转运站</w:t>
            </w:r>
            <w:r>
              <w:rPr>
                <w:sz w:val="24"/>
                <w:szCs w:val="24"/>
              </w:rPr>
              <w:t>NH</w:t>
            </w:r>
            <w:r>
              <w:rPr>
                <w:sz w:val="24"/>
                <w:szCs w:val="24"/>
                <w:vertAlign w:val="subscript"/>
              </w:rPr>
              <w:t>3</w:t>
            </w:r>
            <w:r>
              <w:rPr>
                <w:rFonts w:hint="eastAsia"/>
                <w:sz w:val="24"/>
                <w:szCs w:val="24"/>
              </w:rPr>
              <w:t>产生总量为</w:t>
            </w:r>
            <w:r>
              <w:rPr>
                <w:sz w:val="24"/>
                <w:szCs w:val="24"/>
              </w:rPr>
              <w:t>0.44</w:t>
            </w:r>
            <w:r>
              <w:rPr>
                <w:rFonts w:hint="eastAsia"/>
                <w:sz w:val="24"/>
                <w:szCs w:val="24"/>
              </w:rPr>
              <w:t>t/a，H</w:t>
            </w:r>
            <w:r>
              <w:rPr>
                <w:rFonts w:hint="eastAsia"/>
                <w:sz w:val="24"/>
                <w:szCs w:val="24"/>
                <w:vertAlign w:val="subscript"/>
              </w:rPr>
              <w:t>2</w:t>
            </w:r>
            <w:r>
              <w:rPr>
                <w:rFonts w:hint="eastAsia"/>
                <w:sz w:val="24"/>
                <w:szCs w:val="24"/>
              </w:rPr>
              <w:t>S产生总量为</w:t>
            </w:r>
            <w:r>
              <w:rPr>
                <w:sz w:val="24"/>
                <w:szCs w:val="24"/>
              </w:rPr>
              <w:t>0.045</w:t>
            </w:r>
            <w:r>
              <w:rPr>
                <w:rFonts w:hint="eastAsia"/>
                <w:sz w:val="24"/>
                <w:szCs w:val="24"/>
              </w:rPr>
              <w:t>t/a。</w:t>
            </w:r>
            <w:r>
              <w:rPr>
                <w:rFonts w:hint="eastAsia" w:cs="宋体"/>
                <w:sz w:val="24"/>
                <w:szCs w:val="24"/>
              </w:rPr>
              <w:t>为降低垃圾恶臭对周围敏感点及环境的影响，本项目</w:t>
            </w:r>
            <w:r>
              <w:rPr>
                <w:rFonts w:hint="eastAsia"/>
                <w:sz w:val="24"/>
                <w:szCs w:val="24"/>
              </w:rPr>
              <w:t>在主城区垃圾转运站及寿王坟镇垃圾转运站分别</w:t>
            </w:r>
            <w:r>
              <w:rPr>
                <w:rFonts w:hint="eastAsia" w:cs="宋体"/>
                <w:sz w:val="24"/>
                <w:szCs w:val="24"/>
              </w:rPr>
              <w:t>设置</w:t>
            </w:r>
            <w:r>
              <w:rPr>
                <w:sz w:val="24"/>
                <w:szCs w:val="24"/>
              </w:rPr>
              <w:t>1</w:t>
            </w:r>
            <w:r>
              <w:rPr>
                <w:rFonts w:hint="eastAsia" w:cs="宋体"/>
                <w:sz w:val="24"/>
                <w:szCs w:val="24"/>
              </w:rPr>
              <w:t>套除尘、除臭系统，采用垃圾转运站目前常用的</w:t>
            </w:r>
            <w:r>
              <w:rPr>
                <w:rFonts w:cs="宋体"/>
                <w:sz w:val="24"/>
                <w:szCs w:val="24"/>
              </w:rPr>
              <w:t>“</w:t>
            </w:r>
            <w:r>
              <w:rPr>
                <w:rFonts w:hint="eastAsia"/>
                <w:sz w:val="24"/>
                <w:szCs w:val="24"/>
              </w:rPr>
              <w:t>负压抽风净化+雾化喷淋+生物除臭剂</w:t>
            </w:r>
            <w:r>
              <w:rPr>
                <w:rFonts w:hint="eastAsia" w:cs="宋体"/>
                <w:sz w:val="24"/>
                <w:szCs w:val="24"/>
              </w:rPr>
              <w:t>设备</w:t>
            </w:r>
            <w:r>
              <w:rPr>
                <w:rFonts w:cs="宋体"/>
                <w:sz w:val="24"/>
                <w:szCs w:val="24"/>
              </w:rPr>
              <w:t>”</w:t>
            </w:r>
            <w:r>
              <w:rPr>
                <w:rFonts w:hint="eastAsia" w:cs="宋体"/>
                <w:sz w:val="24"/>
                <w:szCs w:val="24"/>
              </w:rPr>
              <w:t>，处理效率9</w:t>
            </w:r>
            <w:r>
              <w:rPr>
                <w:rFonts w:cs="宋体"/>
                <w:sz w:val="24"/>
                <w:szCs w:val="24"/>
              </w:rPr>
              <w:t>5%</w:t>
            </w:r>
            <w:r>
              <w:rPr>
                <w:rFonts w:hint="eastAsia" w:cs="宋体"/>
                <w:sz w:val="24"/>
                <w:szCs w:val="24"/>
              </w:rPr>
              <w:t>，经处理后，通过1</w:t>
            </w:r>
            <w:r>
              <w:rPr>
                <w:rFonts w:cs="宋体"/>
                <w:sz w:val="24"/>
                <w:szCs w:val="24"/>
              </w:rPr>
              <w:t>5m</w:t>
            </w:r>
            <w:r>
              <w:rPr>
                <w:rFonts w:hint="eastAsia" w:cs="宋体"/>
                <w:sz w:val="24"/>
                <w:szCs w:val="24"/>
              </w:rPr>
              <w:t>高排气筒排出，可有效减少垃圾转运站营运过程中产生的异味气体，最大限度地降低臭气对周边环境的影响；另外，定期对垃圾转运站定期消毒、清洗等防治措施。</w:t>
            </w:r>
            <w:r>
              <w:rPr>
                <w:rFonts w:cs="宋体"/>
                <w:sz w:val="24"/>
                <w:szCs w:val="24"/>
              </w:rPr>
              <w:t xml:space="preserve"> </w:t>
            </w:r>
          </w:p>
          <w:p>
            <w:pPr>
              <w:pStyle w:val="105"/>
              <w:spacing w:line="360" w:lineRule="auto"/>
              <w:rPr>
                <w:rFonts w:ascii="Times New Roman"/>
                <w:b/>
                <w:color w:val="auto"/>
              </w:rPr>
            </w:pPr>
            <w:r>
              <w:rPr>
                <w:rFonts w:hint="eastAsia" w:ascii="Times New Roman"/>
                <w:b/>
                <w:color w:val="auto"/>
              </w:rPr>
              <w:t>大气影响评价工作等级的确定</w:t>
            </w:r>
            <w:r>
              <w:rPr>
                <w:rFonts w:ascii="Times New Roman"/>
                <w:b/>
                <w:color w:val="auto"/>
              </w:rPr>
              <w:t xml:space="preserve"> </w:t>
            </w:r>
          </w:p>
          <w:p>
            <w:pPr>
              <w:autoSpaceDE w:val="0"/>
              <w:autoSpaceDN w:val="0"/>
              <w:spacing w:line="360" w:lineRule="auto"/>
              <w:ind w:firstLine="480" w:firstLineChars="200"/>
              <w:jc w:val="left"/>
              <w:textAlignment w:val="auto"/>
              <w:rPr>
                <w:sz w:val="24"/>
                <w:szCs w:val="24"/>
              </w:rPr>
            </w:pPr>
            <w:r>
              <w:rPr>
                <w:rFonts w:hint="eastAsia"/>
                <w:sz w:val="24"/>
                <w:szCs w:val="24"/>
              </w:rPr>
              <w:t>依据《环境影响评价技术导则</w:t>
            </w:r>
            <w:r>
              <w:rPr>
                <w:sz w:val="24"/>
                <w:szCs w:val="24"/>
              </w:rPr>
              <w:t>-</w:t>
            </w:r>
            <w:r>
              <w:rPr>
                <w:rFonts w:hint="eastAsia"/>
                <w:sz w:val="24"/>
                <w:szCs w:val="24"/>
              </w:rPr>
              <w:t>大气环境》（</w:t>
            </w:r>
            <w:r>
              <w:rPr>
                <w:sz w:val="24"/>
                <w:szCs w:val="24"/>
              </w:rPr>
              <w:t>HJ2.2-2018</w:t>
            </w:r>
            <w:r>
              <w:rPr>
                <w:rFonts w:hint="eastAsia"/>
                <w:sz w:val="24"/>
                <w:szCs w:val="24"/>
              </w:rPr>
              <w:t>）中</w:t>
            </w:r>
            <w:r>
              <w:rPr>
                <w:sz w:val="24"/>
                <w:szCs w:val="24"/>
              </w:rPr>
              <w:t>5.3</w:t>
            </w:r>
            <w:r>
              <w:rPr>
                <w:rFonts w:hint="eastAsia"/>
                <w:sz w:val="24"/>
                <w:szCs w:val="24"/>
              </w:rPr>
              <w:t>节工作等级的确定方法，结合项目工程分析结果，选择正常排放的主要污染物及排放参数，采用附录</w:t>
            </w:r>
            <w:r>
              <w:rPr>
                <w:sz w:val="24"/>
                <w:szCs w:val="24"/>
              </w:rPr>
              <w:t>A</w:t>
            </w:r>
            <w:r>
              <w:rPr>
                <w:rFonts w:hint="eastAsia"/>
                <w:sz w:val="24"/>
                <w:szCs w:val="24"/>
              </w:rPr>
              <w:t>推荐模型中的</w:t>
            </w:r>
            <w:r>
              <w:rPr>
                <w:sz w:val="24"/>
                <w:szCs w:val="24"/>
              </w:rPr>
              <w:t>AERSCREEN</w:t>
            </w:r>
            <w:r>
              <w:rPr>
                <w:rFonts w:hint="eastAsia"/>
                <w:sz w:val="24"/>
                <w:szCs w:val="24"/>
              </w:rPr>
              <w:t>模式计算项目污染源的最大环境影响，然后按评价工作分级判据进行分级。</w:t>
            </w:r>
            <w:r>
              <w:rPr>
                <w:sz w:val="24"/>
                <w:szCs w:val="24"/>
              </w:rPr>
              <w:t xml:space="preserve"> </w:t>
            </w:r>
          </w:p>
          <w:p>
            <w:pPr>
              <w:pStyle w:val="105"/>
              <w:spacing w:line="360" w:lineRule="auto"/>
              <w:ind w:firstLine="480" w:firstLineChars="200"/>
              <w:rPr>
                <w:rFonts w:ascii="Times New Roman"/>
                <w:color w:val="auto"/>
              </w:rPr>
            </w:pPr>
            <w:r>
              <w:rPr>
                <w:rFonts w:hint="eastAsia" w:ascii="Times New Roman"/>
                <w:color w:val="auto"/>
              </w:rPr>
              <w:t xml:space="preserve">① </w:t>
            </w:r>
            <w:r>
              <w:rPr>
                <w:rFonts w:ascii="Times New Roman" w:cs="Times New Roman"/>
                <w:color w:val="auto"/>
              </w:rPr>
              <w:t>P</w:t>
            </w:r>
            <w:r>
              <w:rPr>
                <w:rFonts w:ascii="Times New Roman" w:cs="Times New Roman"/>
                <w:color w:val="auto"/>
                <w:vertAlign w:val="subscript"/>
              </w:rPr>
              <w:t>max</w:t>
            </w:r>
            <w:r>
              <w:rPr>
                <w:rFonts w:hint="eastAsia" w:ascii="Times New Roman"/>
                <w:color w:val="auto"/>
              </w:rPr>
              <w:t>及</w:t>
            </w:r>
            <w:r>
              <w:rPr>
                <w:rFonts w:ascii="Times New Roman" w:cs="Times New Roman"/>
                <w:color w:val="auto"/>
              </w:rPr>
              <w:t>D</w:t>
            </w:r>
            <w:r>
              <w:rPr>
                <w:rFonts w:ascii="Times New Roman" w:cs="Times New Roman"/>
                <w:color w:val="auto"/>
                <w:vertAlign w:val="subscript"/>
              </w:rPr>
              <w:t>10%</w:t>
            </w:r>
            <w:r>
              <w:rPr>
                <w:rFonts w:hint="eastAsia" w:ascii="Times New Roman"/>
                <w:color w:val="auto"/>
              </w:rPr>
              <w:t>的确定</w:t>
            </w:r>
            <w:r>
              <w:rPr>
                <w:rFonts w:ascii="Times New Roman"/>
                <w:color w:val="auto"/>
              </w:rPr>
              <w:t xml:space="preserve"> </w:t>
            </w:r>
          </w:p>
          <w:p>
            <w:pPr>
              <w:pStyle w:val="105"/>
              <w:spacing w:line="360" w:lineRule="auto"/>
              <w:ind w:firstLine="480" w:firstLineChars="200"/>
              <w:rPr>
                <w:rFonts w:ascii="Times New Roman"/>
                <w:color w:val="auto"/>
              </w:rPr>
            </w:pPr>
            <w:r>
              <w:rPr>
                <w:rFonts w:hint="eastAsia" w:ascii="Times New Roman"/>
                <w:color w:val="auto"/>
              </w:rPr>
              <w:t>据《环境影响评价技术导则大气环境》（</w:t>
            </w:r>
            <w:r>
              <w:rPr>
                <w:rFonts w:ascii="Times New Roman" w:cs="Times New Roman"/>
                <w:color w:val="auto"/>
              </w:rPr>
              <w:t>HJ2.2-2018</w:t>
            </w:r>
            <w:r>
              <w:rPr>
                <w:rFonts w:hint="eastAsia" w:ascii="Times New Roman"/>
                <w:color w:val="auto"/>
              </w:rPr>
              <w:t>）中最大地面浓度占标率</w:t>
            </w:r>
            <w:r>
              <w:rPr>
                <w:rFonts w:ascii="Times New Roman" w:cs="Times New Roman"/>
                <w:color w:val="auto"/>
              </w:rPr>
              <w:t>P</w:t>
            </w:r>
            <w:r>
              <w:rPr>
                <w:rFonts w:ascii="Times New Roman" w:cs="Times New Roman"/>
                <w:color w:val="auto"/>
                <w:vertAlign w:val="subscript"/>
              </w:rPr>
              <w:t>i</w:t>
            </w:r>
            <w:r>
              <w:rPr>
                <w:rFonts w:hint="eastAsia" w:ascii="Times New Roman"/>
                <w:color w:val="auto"/>
              </w:rPr>
              <w:t>定义如下：</w:t>
            </w:r>
          </w:p>
          <w:p>
            <w:pPr>
              <w:pStyle w:val="105"/>
              <w:spacing w:line="360" w:lineRule="auto"/>
              <w:ind w:firstLine="460"/>
              <w:jc w:val="center"/>
              <w:rPr>
                <w:rFonts w:ascii="Times New Roman"/>
                <w:color w:val="auto"/>
              </w:rPr>
            </w:pPr>
            <m:oMathPara>
              <m:oMath>
                <m:sSub>
                  <m:sSubPr>
                    <m:ctrlPr>
                      <w:rPr>
                        <w:rFonts w:ascii="Cambria Math" w:hAnsi="Cambria Math"/>
                        <w:color w:val="auto"/>
                      </w:rPr>
                    </m:ctrlPr>
                  </m:sSubPr>
                  <m:e>
                    <m:r>
                      <w:rPr>
                        <w:rFonts w:hint="eastAsia" w:ascii="Cambria Math" w:hAnsi="Cambria Math"/>
                        <w:color w:val="auto"/>
                      </w:rPr>
                      <m:t>P</m:t>
                    </m:r>
                    <m:ctrlPr>
                      <w:rPr>
                        <w:rFonts w:ascii="Cambria Math" w:hAnsi="Cambria Math"/>
                        <w:color w:val="auto"/>
                      </w:rPr>
                    </m:ctrlPr>
                  </m:e>
                  <m:sub>
                    <m:r>
                      <w:rPr>
                        <w:rFonts w:hint="eastAsia" w:ascii="Cambria Math" w:hAnsi="Cambria Math"/>
                        <w:color w:val="auto"/>
                      </w:rPr>
                      <m:t>i</m:t>
                    </m:r>
                    <m:ctrlPr>
                      <w:rPr>
                        <w:rFonts w:ascii="Cambria Math" w:hAnsi="Cambria Math"/>
                        <w:color w:val="auto"/>
                      </w:rPr>
                    </m:ctrlPr>
                  </m:sub>
                </m:sSub>
                <m:r>
                  <w:rPr>
                    <w:rFonts w:hint="eastAsia" w:ascii="Cambria Math" w:hAnsi="Cambria Math"/>
                    <w:color w:val="auto"/>
                  </w:rPr>
                  <m:t>=</m:t>
                </m:r>
                <m:f>
                  <m:fPr>
                    <m:ctrlPr>
                      <w:rPr>
                        <w:rFonts w:ascii="Cambria Math" w:hAnsi="Cambria Math"/>
                        <w:i/>
                        <w:color w:val="auto"/>
                      </w:rPr>
                    </m:ctrlPr>
                  </m:fPr>
                  <m:num>
                    <m:sSub>
                      <m:sSubPr>
                        <m:ctrlPr>
                          <w:rPr>
                            <w:rFonts w:ascii="Cambria Math" w:hAnsi="Cambria Math"/>
                            <w:i/>
                            <w:color w:val="auto"/>
                          </w:rPr>
                        </m:ctrlPr>
                      </m:sSubPr>
                      <m:e>
                        <m:r>
                          <w:rPr>
                            <w:rFonts w:hint="eastAsia" w:ascii="Cambria Math" w:hAnsi="Cambria Math"/>
                            <w:color w:val="auto"/>
                          </w:rPr>
                          <m:t>C</m:t>
                        </m:r>
                        <m:ctrlPr>
                          <w:rPr>
                            <w:rFonts w:ascii="Cambria Math" w:hAnsi="Cambria Math"/>
                            <w:i/>
                            <w:color w:val="auto"/>
                          </w:rPr>
                        </m:ctrlPr>
                      </m:e>
                      <m:sub>
                        <m:r>
                          <w:rPr>
                            <w:rFonts w:hint="eastAsia" w:ascii="Cambria Math" w:hAnsi="Cambria Math"/>
                            <w:color w:val="auto"/>
                          </w:rPr>
                          <m:t>i</m:t>
                        </m:r>
                        <m:ctrlPr>
                          <w:rPr>
                            <w:rFonts w:ascii="Cambria Math" w:hAnsi="Cambria Math"/>
                            <w:i/>
                            <w:color w:val="auto"/>
                          </w:rPr>
                        </m:ctrlPr>
                      </m:sub>
                    </m:sSub>
                    <m:ctrlPr>
                      <w:rPr>
                        <w:rFonts w:ascii="Cambria Math" w:hAnsi="Cambria Math"/>
                        <w:i/>
                        <w:color w:val="auto"/>
                      </w:rPr>
                    </m:ctrlPr>
                  </m:num>
                  <m:den>
                    <m:sSub>
                      <m:sSubPr>
                        <m:ctrlPr>
                          <w:rPr>
                            <w:rFonts w:ascii="Cambria Math" w:hAnsi="Cambria Math"/>
                            <w:i/>
                            <w:color w:val="auto"/>
                          </w:rPr>
                        </m:ctrlPr>
                      </m:sSubPr>
                      <m:e>
                        <m:r>
                          <w:rPr>
                            <w:rFonts w:hint="eastAsia" w:ascii="Cambria Math" w:hAnsi="Cambria Math"/>
                            <w:color w:val="auto"/>
                          </w:rPr>
                          <m:t>C</m:t>
                        </m:r>
                        <m:ctrlPr>
                          <w:rPr>
                            <w:rFonts w:ascii="Cambria Math" w:hAnsi="Cambria Math"/>
                            <w:i/>
                            <w:color w:val="auto"/>
                          </w:rPr>
                        </m:ctrlPr>
                      </m:e>
                      <m:sub>
                        <m:r>
                          <w:rPr>
                            <w:rFonts w:ascii="Cambria Math" w:hAnsi="Cambria Math"/>
                            <w:color w:val="auto"/>
                          </w:rPr>
                          <m:t>0</m:t>
                        </m:r>
                        <m:r>
                          <w:rPr>
                            <w:rFonts w:hint="eastAsia" w:ascii="Cambria Math" w:hAnsi="Cambria Math"/>
                            <w:color w:val="auto"/>
                          </w:rPr>
                          <m:t>i</m:t>
                        </m:r>
                        <m:ctrlPr>
                          <w:rPr>
                            <w:rFonts w:ascii="Cambria Math" w:hAnsi="Cambria Math"/>
                            <w:i/>
                            <w:color w:val="auto"/>
                          </w:rPr>
                        </m:ctrlPr>
                      </m:sub>
                    </m:sSub>
                    <m:ctrlPr>
                      <w:rPr>
                        <w:rFonts w:ascii="Cambria Math" w:hAnsi="Cambria Math"/>
                        <w:i/>
                        <w:color w:val="auto"/>
                      </w:rPr>
                    </m:ctrlPr>
                  </m:den>
                </m:f>
                <m:r>
                  <w:rPr>
                    <w:rFonts w:ascii="Cambria Math" w:hAnsi="Cambria Math"/>
                    <w:color w:val="auto"/>
                  </w:rPr>
                  <m:t>×100</m:t>
                </m:r>
                <m:r>
                  <w:rPr>
                    <w:rFonts w:hint="eastAsia" w:ascii="Cambria Math" w:hAnsi="Cambria Math"/>
                    <w:color w:val="auto"/>
                  </w:rPr>
                  <m:t>%</m:t>
                </m:r>
              </m:oMath>
            </m:oMathPara>
          </w:p>
          <w:p>
            <w:pPr>
              <w:pStyle w:val="105"/>
              <w:spacing w:line="360" w:lineRule="auto"/>
              <w:ind w:firstLine="480" w:firstLineChars="200"/>
              <w:rPr>
                <w:rFonts w:ascii="Times New Roman"/>
                <w:color w:val="auto"/>
              </w:rPr>
            </w:pPr>
            <w:r>
              <w:rPr>
                <w:rFonts w:hint="eastAsia" w:ascii="Times New Roman"/>
                <w:color w:val="auto"/>
              </w:rPr>
              <w:t>P</w:t>
            </w:r>
            <w:r>
              <w:rPr>
                <w:rFonts w:hint="eastAsia" w:ascii="Times New Roman"/>
                <w:color w:val="auto"/>
                <w:vertAlign w:val="subscript"/>
              </w:rPr>
              <w:t>i</w:t>
            </w:r>
            <w:r>
              <w:rPr>
                <w:rFonts w:ascii="Times New Roman"/>
                <w:color w:val="auto"/>
              </w:rPr>
              <w:t>——</w:t>
            </w:r>
            <w:r>
              <w:rPr>
                <w:rFonts w:hint="eastAsia" w:ascii="Times New Roman"/>
                <w:color w:val="auto"/>
              </w:rPr>
              <w:t>第</w:t>
            </w:r>
            <w:r>
              <w:rPr>
                <w:rFonts w:ascii="Times New Roman" w:cs="Times New Roman"/>
                <w:color w:val="auto"/>
              </w:rPr>
              <w:t>i</w:t>
            </w:r>
            <w:r>
              <w:rPr>
                <w:rFonts w:hint="eastAsia" w:ascii="Times New Roman"/>
                <w:color w:val="auto"/>
              </w:rPr>
              <w:t>个污染物的最大地面空气质量浓度</w:t>
            </w:r>
            <w:r>
              <w:rPr>
                <w:rFonts w:ascii="Times New Roman"/>
                <w:color w:val="auto"/>
              </w:rPr>
              <w:t xml:space="preserve"> </w:t>
            </w:r>
            <w:r>
              <w:rPr>
                <w:rFonts w:hint="eastAsia" w:ascii="Times New Roman"/>
                <w:color w:val="auto"/>
              </w:rPr>
              <w:t>占标率，</w:t>
            </w:r>
            <w:r>
              <w:rPr>
                <w:rFonts w:ascii="Times New Roman" w:cs="Times New Roman"/>
                <w:color w:val="auto"/>
              </w:rPr>
              <w:t>%</w:t>
            </w:r>
            <w:r>
              <w:rPr>
                <w:rFonts w:hint="eastAsia" w:ascii="Times New Roman"/>
                <w:color w:val="auto"/>
              </w:rPr>
              <w:t>；</w:t>
            </w:r>
          </w:p>
          <w:p>
            <w:pPr>
              <w:pStyle w:val="105"/>
              <w:spacing w:line="360" w:lineRule="auto"/>
              <w:ind w:firstLine="480" w:firstLineChars="200"/>
              <w:rPr>
                <w:rFonts w:ascii="Times New Roman"/>
                <w:color w:val="auto"/>
              </w:rPr>
            </w:pPr>
            <w:r>
              <w:rPr>
                <w:rFonts w:hint="eastAsia" w:ascii="Times New Roman" w:cs="Times New Roman"/>
                <w:color w:val="auto"/>
              </w:rPr>
              <w:t>C</w:t>
            </w:r>
            <w:r>
              <w:rPr>
                <w:rFonts w:hint="eastAsia" w:ascii="Times New Roman" w:cs="Times New Roman"/>
                <w:color w:val="auto"/>
                <w:vertAlign w:val="subscript"/>
              </w:rPr>
              <w:t>i</w:t>
            </w:r>
            <w:r>
              <w:rPr>
                <w:rFonts w:ascii="Times New Roman" w:cs="Times New Roman"/>
                <w:color w:val="auto"/>
              </w:rPr>
              <w:t>——</w:t>
            </w:r>
            <w:r>
              <w:rPr>
                <w:rFonts w:hint="eastAsia" w:ascii="Times New Roman"/>
                <w:color w:val="auto"/>
              </w:rPr>
              <w:t>采用估算模型计算出的第</w:t>
            </w:r>
            <w:r>
              <w:rPr>
                <w:rFonts w:ascii="Times New Roman" w:cs="Times New Roman"/>
                <w:color w:val="auto"/>
              </w:rPr>
              <w:t>i</w:t>
            </w:r>
            <w:r>
              <w:rPr>
                <w:rFonts w:hint="eastAsia" w:ascii="Times New Roman"/>
                <w:color w:val="auto"/>
              </w:rPr>
              <w:t>个污染物的最大</w:t>
            </w:r>
            <w:r>
              <w:rPr>
                <w:rFonts w:ascii="Times New Roman" w:cs="Times New Roman"/>
                <w:color w:val="auto"/>
              </w:rPr>
              <w:t>1h</w:t>
            </w:r>
            <w:r>
              <w:rPr>
                <w:rFonts w:hint="eastAsia" w:ascii="Times New Roman"/>
                <w:color w:val="auto"/>
              </w:rPr>
              <w:t>地面空气质量浓度，</w:t>
            </w:r>
            <w:r>
              <w:rPr>
                <w:rFonts w:ascii="Times New Roman" w:cs="Times New Roman"/>
                <w:color w:val="auto"/>
              </w:rPr>
              <w:t>μg/m</w:t>
            </w:r>
            <w:r>
              <w:rPr>
                <w:rFonts w:ascii="Times New Roman" w:cs="Times New Roman"/>
                <w:color w:val="auto"/>
                <w:vertAlign w:val="superscript"/>
              </w:rPr>
              <w:t>3</w:t>
            </w:r>
            <w:r>
              <w:rPr>
                <w:rFonts w:hint="eastAsia" w:ascii="Times New Roman"/>
                <w:color w:val="auto"/>
              </w:rPr>
              <w:t>；</w:t>
            </w:r>
          </w:p>
          <w:p>
            <w:pPr>
              <w:autoSpaceDE w:val="0"/>
              <w:autoSpaceDN w:val="0"/>
              <w:spacing w:line="360" w:lineRule="auto"/>
              <w:ind w:firstLine="480" w:firstLineChars="200"/>
              <w:jc w:val="left"/>
              <w:textAlignment w:val="auto"/>
              <w:rPr>
                <w:sz w:val="24"/>
                <w:szCs w:val="24"/>
              </w:rPr>
            </w:pPr>
            <w:r>
              <w:rPr>
                <w:rFonts w:hint="eastAsia"/>
                <w:sz w:val="24"/>
                <w:szCs w:val="24"/>
              </w:rPr>
              <w:t>C</w:t>
            </w:r>
            <w:r>
              <w:rPr>
                <w:rFonts w:hint="eastAsia"/>
                <w:sz w:val="24"/>
                <w:szCs w:val="24"/>
                <w:vertAlign w:val="subscript"/>
              </w:rPr>
              <w:t>0i</w:t>
            </w:r>
            <w:r>
              <w:rPr>
                <w:sz w:val="24"/>
                <w:szCs w:val="24"/>
              </w:rPr>
              <w:t>——</w:t>
            </w:r>
            <w:r>
              <w:rPr>
                <w:rFonts w:hint="eastAsia"/>
                <w:sz w:val="24"/>
                <w:szCs w:val="24"/>
              </w:rPr>
              <w:t>第</w:t>
            </w:r>
            <w:r>
              <w:rPr>
                <w:sz w:val="24"/>
                <w:szCs w:val="24"/>
              </w:rPr>
              <w:t>i</w:t>
            </w:r>
            <w:r>
              <w:rPr>
                <w:rFonts w:hint="eastAsia"/>
                <w:sz w:val="24"/>
                <w:szCs w:val="24"/>
              </w:rPr>
              <w:t>个污染物的环境空气质量浓度标准，</w:t>
            </w:r>
            <w:r>
              <w:rPr>
                <w:sz w:val="24"/>
                <w:szCs w:val="24"/>
              </w:rPr>
              <w:t>μg/m</w:t>
            </w:r>
            <w:r>
              <w:rPr>
                <w:sz w:val="24"/>
                <w:szCs w:val="24"/>
                <w:vertAlign w:val="superscript"/>
              </w:rPr>
              <w:t>3</w:t>
            </w:r>
            <w:r>
              <w:rPr>
                <w:rFonts w:hint="eastAsia"/>
                <w:sz w:val="24"/>
                <w:szCs w:val="24"/>
              </w:rPr>
              <w:t>。</w:t>
            </w:r>
          </w:p>
          <w:p>
            <w:pPr>
              <w:pStyle w:val="105"/>
              <w:spacing w:line="360" w:lineRule="auto"/>
              <w:ind w:firstLine="460"/>
              <w:rPr>
                <w:rFonts w:ascii="Times New Roman"/>
                <w:color w:val="auto"/>
              </w:rPr>
            </w:pPr>
            <w:r>
              <w:rPr>
                <w:rFonts w:hint="eastAsia" w:ascii="Times New Roman"/>
                <w:color w:val="auto"/>
              </w:rPr>
              <w:t>②评价等级判别表</w:t>
            </w:r>
          </w:p>
          <w:p>
            <w:pPr>
              <w:autoSpaceDE w:val="0"/>
              <w:autoSpaceDN w:val="0"/>
              <w:spacing w:line="360" w:lineRule="auto"/>
              <w:ind w:firstLine="480" w:firstLineChars="200"/>
              <w:jc w:val="left"/>
              <w:textAlignment w:val="auto"/>
              <w:rPr>
                <w:sz w:val="24"/>
                <w:szCs w:val="24"/>
              </w:rPr>
            </w:pPr>
            <w:r>
              <w:rPr>
                <w:rFonts w:hint="eastAsia"/>
                <w:sz w:val="24"/>
                <w:szCs w:val="24"/>
              </w:rPr>
              <w:t>评价等级按下表的分级判据进行划分：</w:t>
            </w:r>
          </w:p>
          <w:p>
            <w:pPr>
              <w:spacing w:line="360" w:lineRule="auto"/>
              <w:jc w:val="center"/>
              <w:rPr>
                <w:sz w:val="24"/>
                <w:szCs w:val="24"/>
              </w:rPr>
            </w:pPr>
            <w:r>
              <w:rPr>
                <w:sz w:val="24"/>
                <w:szCs w:val="24"/>
              </w:rPr>
              <w:t>表25 评价等级判别表</w:t>
            </w:r>
          </w:p>
          <w:tbl>
            <w:tblPr>
              <w:tblStyle w:val="28"/>
              <w:tblW w:w="82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2"/>
              <w:gridCol w:w="3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4562" w:type="dxa"/>
                  <w:vAlign w:val="center"/>
                </w:tcPr>
                <w:p>
                  <w:pPr>
                    <w:adjustRightInd/>
                    <w:spacing w:line="360" w:lineRule="auto"/>
                    <w:ind w:firstLine="420"/>
                    <w:jc w:val="center"/>
                    <w:textAlignment w:val="auto"/>
                    <w:rPr>
                      <w:kern w:val="2"/>
                      <w:szCs w:val="21"/>
                    </w:rPr>
                  </w:pPr>
                  <w:r>
                    <w:rPr>
                      <w:kern w:val="2"/>
                      <w:szCs w:val="21"/>
                    </w:rPr>
                    <w:t>评价工作等级</w:t>
                  </w:r>
                </w:p>
              </w:tc>
              <w:tc>
                <w:tcPr>
                  <w:tcW w:w="3684" w:type="dxa"/>
                  <w:vAlign w:val="center"/>
                </w:tcPr>
                <w:p>
                  <w:pPr>
                    <w:adjustRightInd/>
                    <w:spacing w:line="360" w:lineRule="auto"/>
                    <w:ind w:firstLine="420"/>
                    <w:jc w:val="center"/>
                    <w:textAlignment w:val="auto"/>
                    <w:rPr>
                      <w:kern w:val="2"/>
                      <w:szCs w:val="21"/>
                    </w:rPr>
                  </w:pPr>
                  <w:r>
                    <w:rPr>
                      <w:kern w:val="2"/>
                      <w:szCs w:val="21"/>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4562" w:type="dxa"/>
                  <w:vAlign w:val="center"/>
                </w:tcPr>
                <w:p>
                  <w:pPr>
                    <w:adjustRightInd/>
                    <w:spacing w:line="360" w:lineRule="auto"/>
                    <w:ind w:firstLine="420"/>
                    <w:jc w:val="center"/>
                    <w:textAlignment w:val="auto"/>
                    <w:rPr>
                      <w:kern w:val="2"/>
                      <w:szCs w:val="21"/>
                    </w:rPr>
                  </w:pPr>
                  <w:r>
                    <w:rPr>
                      <w:kern w:val="2"/>
                      <w:szCs w:val="21"/>
                    </w:rPr>
                    <w:t>一级评价</w:t>
                  </w:r>
                </w:p>
              </w:tc>
              <w:tc>
                <w:tcPr>
                  <w:tcW w:w="3684" w:type="dxa"/>
                  <w:vAlign w:val="center"/>
                </w:tcPr>
                <w:p>
                  <w:pPr>
                    <w:adjustRightInd/>
                    <w:spacing w:line="360" w:lineRule="auto"/>
                    <w:ind w:firstLine="420"/>
                    <w:jc w:val="center"/>
                    <w:textAlignment w:val="auto"/>
                    <w:rPr>
                      <w:kern w:val="2"/>
                      <w:szCs w:val="21"/>
                    </w:rPr>
                  </w:pPr>
                  <w:r>
                    <w:rPr>
                      <w:kern w:val="2"/>
                      <w:szCs w:val="21"/>
                    </w:rPr>
                    <w:t>P</w:t>
                  </w:r>
                  <w:r>
                    <w:rPr>
                      <w:kern w:val="2"/>
                      <w:szCs w:val="21"/>
                      <w:vertAlign w:val="subscript"/>
                    </w:rPr>
                    <w:t>max</w:t>
                  </w:r>
                  <w:r>
                    <w:rPr>
                      <w:rFonts w:hint="eastAsia" w:cs="宋体"/>
                      <w:kern w:val="2"/>
                      <w:szCs w:val="21"/>
                    </w:rPr>
                    <w:t>≧</w:t>
                  </w:r>
                  <w:r>
                    <w:rPr>
                      <w:kern w:val="2"/>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4562" w:type="dxa"/>
                  <w:vAlign w:val="center"/>
                </w:tcPr>
                <w:p>
                  <w:pPr>
                    <w:adjustRightInd/>
                    <w:spacing w:line="360" w:lineRule="auto"/>
                    <w:ind w:firstLine="420"/>
                    <w:jc w:val="center"/>
                    <w:textAlignment w:val="auto"/>
                    <w:rPr>
                      <w:kern w:val="2"/>
                      <w:szCs w:val="21"/>
                    </w:rPr>
                  </w:pPr>
                  <w:r>
                    <w:rPr>
                      <w:kern w:val="2"/>
                      <w:szCs w:val="21"/>
                    </w:rPr>
                    <w:t>二级评价</w:t>
                  </w:r>
                </w:p>
              </w:tc>
              <w:tc>
                <w:tcPr>
                  <w:tcW w:w="3684" w:type="dxa"/>
                  <w:vAlign w:val="center"/>
                </w:tcPr>
                <w:p>
                  <w:pPr>
                    <w:adjustRightInd/>
                    <w:spacing w:line="360" w:lineRule="auto"/>
                    <w:ind w:firstLine="420"/>
                    <w:jc w:val="center"/>
                    <w:textAlignment w:val="auto"/>
                    <w:rPr>
                      <w:kern w:val="2"/>
                      <w:szCs w:val="21"/>
                    </w:rPr>
                  </w:pPr>
                  <w:r>
                    <w:rPr>
                      <w:kern w:val="2"/>
                      <w:szCs w:val="21"/>
                    </w:rPr>
                    <w:t>1%</w:t>
                  </w:r>
                  <w:r>
                    <w:rPr>
                      <w:rFonts w:hint="eastAsia" w:cs="宋体"/>
                      <w:kern w:val="2"/>
                      <w:szCs w:val="21"/>
                    </w:rPr>
                    <w:t>≦</w:t>
                  </w:r>
                  <w:r>
                    <w:rPr>
                      <w:kern w:val="2"/>
                      <w:szCs w:val="21"/>
                    </w:rPr>
                    <w:t>P</w:t>
                  </w:r>
                  <w:r>
                    <w:rPr>
                      <w:kern w:val="2"/>
                      <w:szCs w:val="21"/>
                      <w:vertAlign w:val="subscript"/>
                    </w:rPr>
                    <w:t>max</w:t>
                  </w:r>
                  <w:r>
                    <w:rPr>
                      <w:kern w:val="2"/>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4562" w:type="dxa"/>
                  <w:vAlign w:val="center"/>
                </w:tcPr>
                <w:p>
                  <w:pPr>
                    <w:adjustRightInd/>
                    <w:spacing w:line="360" w:lineRule="auto"/>
                    <w:ind w:firstLine="420"/>
                    <w:jc w:val="center"/>
                    <w:textAlignment w:val="auto"/>
                    <w:rPr>
                      <w:kern w:val="2"/>
                      <w:szCs w:val="21"/>
                    </w:rPr>
                  </w:pPr>
                  <w:r>
                    <w:rPr>
                      <w:kern w:val="2"/>
                      <w:szCs w:val="21"/>
                    </w:rPr>
                    <w:t>三级评价</w:t>
                  </w:r>
                </w:p>
              </w:tc>
              <w:tc>
                <w:tcPr>
                  <w:tcW w:w="3684" w:type="dxa"/>
                  <w:vAlign w:val="center"/>
                </w:tcPr>
                <w:p>
                  <w:pPr>
                    <w:adjustRightInd/>
                    <w:spacing w:line="360" w:lineRule="auto"/>
                    <w:ind w:firstLine="420"/>
                    <w:jc w:val="center"/>
                    <w:textAlignment w:val="auto"/>
                    <w:rPr>
                      <w:kern w:val="2"/>
                      <w:szCs w:val="21"/>
                    </w:rPr>
                  </w:pPr>
                  <w:r>
                    <w:rPr>
                      <w:kern w:val="2"/>
                      <w:szCs w:val="21"/>
                    </w:rPr>
                    <w:t>P</w:t>
                  </w:r>
                  <w:r>
                    <w:rPr>
                      <w:kern w:val="2"/>
                      <w:szCs w:val="21"/>
                      <w:vertAlign w:val="subscript"/>
                    </w:rPr>
                    <w:t>max</w:t>
                  </w:r>
                  <w:r>
                    <w:rPr>
                      <w:kern w:val="2"/>
                      <w:szCs w:val="21"/>
                    </w:rPr>
                    <w:t>&lt;1%</w:t>
                  </w:r>
                </w:p>
              </w:tc>
            </w:tr>
          </w:tbl>
          <w:p>
            <w:pPr>
              <w:adjustRightInd/>
              <w:spacing w:line="360" w:lineRule="auto"/>
              <w:ind w:firstLine="422" w:firstLineChars="176"/>
              <w:jc w:val="left"/>
              <w:textAlignment w:val="auto"/>
              <w:rPr>
                <w:kern w:val="2"/>
                <w:sz w:val="24"/>
                <w:szCs w:val="24"/>
              </w:rPr>
            </w:pPr>
            <w:r>
              <w:rPr>
                <w:rFonts w:hint="eastAsia" w:cs="宋体"/>
                <w:kern w:val="2"/>
                <w:sz w:val="24"/>
                <w:szCs w:val="24"/>
              </w:rPr>
              <w:t>③</w:t>
            </w:r>
            <w:r>
              <w:rPr>
                <w:kern w:val="2"/>
                <w:sz w:val="24"/>
                <w:szCs w:val="24"/>
              </w:rPr>
              <w:t>污染源参数</w:t>
            </w:r>
          </w:p>
          <w:p>
            <w:pPr>
              <w:adjustRightInd/>
              <w:spacing w:line="360" w:lineRule="auto"/>
              <w:ind w:firstLine="422" w:firstLineChars="176"/>
              <w:jc w:val="left"/>
              <w:textAlignment w:val="auto"/>
              <w:rPr>
                <w:kern w:val="2"/>
                <w:sz w:val="24"/>
                <w:szCs w:val="24"/>
              </w:rPr>
            </w:pPr>
            <w:r>
              <w:rPr>
                <w:rFonts w:hint="eastAsia"/>
                <w:kern w:val="2"/>
                <w:sz w:val="24"/>
                <w:szCs w:val="24"/>
              </w:rPr>
              <w:t>根据以上核算</w:t>
            </w:r>
            <w:r>
              <w:rPr>
                <w:kern w:val="2"/>
                <w:sz w:val="24"/>
                <w:szCs w:val="24"/>
              </w:rPr>
              <w:t>主要废气污染源排放参数见下表：</w:t>
            </w:r>
          </w:p>
          <w:p>
            <w:pPr>
              <w:spacing w:line="360" w:lineRule="auto"/>
              <w:jc w:val="center"/>
              <w:rPr>
                <w:sz w:val="24"/>
                <w:szCs w:val="24"/>
              </w:rPr>
            </w:pPr>
            <w:r>
              <w:rPr>
                <w:rFonts w:hint="eastAsia"/>
                <w:sz w:val="24"/>
                <w:szCs w:val="24"/>
              </w:rPr>
              <w:t>表</w:t>
            </w:r>
            <w:r>
              <w:rPr>
                <w:sz w:val="24"/>
                <w:szCs w:val="24"/>
              </w:rPr>
              <w:t xml:space="preserve">26 </w:t>
            </w:r>
            <w:r>
              <w:rPr>
                <w:rFonts w:hint="eastAsia"/>
                <w:sz w:val="24"/>
                <w:szCs w:val="24"/>
              </w:rPr>
              <w:t>垃圾转运站</w:t>
            </w:r>
            <w:r>
              <w:rPr>
                <w:sz w:val="24"/>
                <w:szCs w:val="24"/>
              </w:rPr>
              <w:t>主要废气污染源参数一览表(点源)</w:t>
            </w:r>
          </w:p>
          <w:tbl>
            <w:tblPr>
              <w:tblStyle w:val="28"/>
              <w:tblW w:w="81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58"/>
              <w:gridCol w:w="867"/>
              <w:gridCol w:w="1196"/>
              <w:gridCol w:w="710"/>
              <w:gridCol w:w="553"/>
              <w:gridCol w:w="710"/>
              <w:gridCol w:w="606"/>
              <w:gridCol w:w="711"/>
              <w:gridCol w:w="645"/>
              <w:gridCol w:w="1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4" w:hRule="atLeast"/>
              </w:trPr>
              <w:tc>
                <w:tcPr>
                  <w:tcW w:w="654" w:type="dxa"/>
                  <w:vMerge w:val="restart"/>
                  <w:vAlign w:val="center"/>
                </w:tcPr>
                <w:p>
                  <w:pPr>
                    <w:adjustRightInd/>
                    <w:spacing w:line="240" w:lineRule="auto"/>
                    <w:jc w:val="center"/>
                    <w:textAlignment w:val="auto"/>
                    <w:rPr>
                      <w:kern w:val="2"/>
                      <w:szCs w:val="21"/>
                    </w:rPr>
                  </w:pPr>
                  <w:r>
                    <w:rPr>
                      <w:rFonts w:hint="eastAsia"/>
                      <w:kern w:val="2"/>
                      <w:szCs w:val="21"/>
                    </w:rPr>
                    <w:t>转运站规模</w:t>
                  </w:r>
                </w:p>
              </w:tc>
              <w:tc>
                <w:tcPr>
                  <w:tcW w:w="931" w:type="dxa"/>
                  <w:vMerge w:val="restart"/>
                  <w:vAlign w:val="center"/>
                </w:tcPr>
                <w:p>
                  <w:pPr>
                    <w:adjustRightInd/>
                    <w:spacing w:line="240" w:lineRule="auto"/>
                    <w:jc w:val="center"/>
                    <w:textAlignment w:val="auto"/>
                    <w:rPr>
                      <w:kern w:val="2"/>
                      <w:szCs w:val="21"/>
                    </w:rPr>
                  </w:pPr>
                  <w:r>
                    <w:rPr>
                      <w:rFonts w:hint="eastAsia"/>
                      <w:kern w:val="2"/>
                      <w:szCs w:val="21"/>
                    </w:rPr>
                    <w:t>污染源名称</w:t>
                  </w:r>
                </w:p>
              </w:tc>
              <w:tc>
                <w:tcPr>
                  <w:tcW w:w="1196" w:type="dxa"/>
                  <w:vMerge w:val="restart"/>
                  <w:vAlign w:val="center"/>
                </w:tcPr>
                <w:p>
                  <w:pPr>
                    <w:adjustRightInd/>
                    <w:spacing w:line="360" w:lineRule="auto"/>
                    <w:jc w:val="center"/>
                    <w:textAlignment w:val="auto"/>
                    <w:rPr>
                      <w:kern w:val="2"/>
                      <w:szCs w:val="21"/>
                    </w:rPr>
                  </w:pPr>
                  <w:r>
                    <w:rPr>
                      <w:rFonts w:hint="eastAsia"/>
                      <w:kern w:val="2"/>
                      <w:szCs w:val="21"/>
                    </w:rPr>
                    <w:t>经纬度</w:t>
                  </w:r>
                </w:p>
              </w:tc>
              <w:tc>
                <w:tcPr>
                  <w:tcW w:w="707" w:type="dxa"/>
                  <w:vMerge w:val="restart"/>
                  <w:vAlign w:val="center"/>
                </w:tcPr>
                <w:p>
                  <w:pPr>
                    <w:adjustRightInd/>
                    <w:spacing w:line="240" w:lineRule="auto"/>
                    <w:jc w:val="center"/>
                    <w:textAlignment w:val="auto"/>
                    <w:rPr>
                      <w:kern w:val="2"/>
                      <w:szCs w:val="21"/>
                    </w:rPr>
                  </w:pPr>
                  <w:r>
                    <w:rPr>
                      <w:rFonts w:hint="eastAsia"/>
                      <w:kern w:val="2"/>
                      <w:szCs w:val="21"/>
                    </w:rPr>
                    <w:t>排气筒海拔高度（m）</w:t>
                  </w:r>
                </w:p>
              </w:tc>
              <w:tc>
                <w:tcPr>
                  <w:tcW w:w="2566" w:type="dxa"/>
                  <w:gridSpan w:val="4"/>
                  <w:vAlign w:val="center"/>
                </w:tcPr>
                <w:p>
                  <w:pPr>
                    <w:adjustRightInd/>
                    <w:spacing w:line="360" w:lineRule="auto"/>
                    <w:ind w:firstLine="420"/>
                    <w:jc w:val="center"/>
                    <w:textAlignment w:val="auto"/>
                    <w:rPr>
                      <w:kern w:val="2"/>
                      <w:szCs w:val="21"/>
                    </w:rPr>
                  </w:pPr>
                  <w:r>
                    <w:rPr>
                      <w:rFonts w:hint="eastAsia"/>
                      <w:kern w:val="2"/>
                      <w:szCs w:val="21"/>
                    </w:rPr>
                    <w:t>排气筒参数</w:t>
                  </w:r>
                </w:p>
              </w:tc>
              <w:tc>
                <w:tcPr>
                  <w:tcW w:w="632" w:type="dxa"/>
                  <w:vMerge w:val="restart"/>
                  <w:vAlign w:val="center"/>
                </w:tcPr>
                <w:p>
                  <w:pPr>
                    <w:adjustRightInd/>
                    <w:spacing w:line="240" w:lineRule="auto"/>
                    <w:jc w:val="center"/>
                    <w:textAlignment w:val="auto"/>
                    <w:rPr>
                      <w:kern w:val="2"/>
                      <w:szCs w:val="21"/>
                    </w:rPr>
                  </w:pPr>
                  <w:r>
                    <w:rPr>
                      <w:rFonts w:hint="eastAsia"/>
                      <w:kern w:val="2"/>
                      <w:szCs w:val="21"/>
                    </w:rPr>
                    <w:t>污染物名称</w:t>
                  </w:r>
                </w:p>
              </w:tc>
              <w:tc>
                <w:tcPr>
                  <w:tcW w:w="1450" w:type="dxa"/>
                  <w:vMerge w:val="restart"/>
                  <w:vAlign w:val="center"/>
                </w:tcPr>
                <w:p>
                  <w:pPr>
                    <w:adjustRightInd/>
                    <w:spacing w:line="240" w:lineRule="auto"/>
                    <w:jc w:val="center"/>
                    <w:textAlignment w:val="auto"/>
                    <w:rPr>
                      <w:kern w:val="2"/>
                      <w:szCs w:val="21"/>
                    </w:rPr>
                  </w:pPr>
                  <w:r>
                    <w:rPr>
                      <w:rFonts w:hint="eastAsia"/>
                      <w:kern w:val="2"/>
                      <w:szCs w:val="21"/>
                    </w:rPr>
                    <w:t>排放速率（g/s）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9" w:hRule="atLeast"/>
              </w:trPr>
              <w:tc>
                <w:tcPr>
                  <w:tcW w:w="665" w:type="dxa"/>
                  <w:vMerge w:val="continue"/>
                  <w:vAlign w:val="center"/>
                </w:tcPr>
                <w:p>
                  <w:pPr>
                    <w:adjustRightInd/>
                    <w:spacing w:line="360" w:lineRule="auto"/>
                    <w:ind w:firstLine="420"/>
                    <w:jc w:val="center"/>
                    <w:textAlignment w:val="auto"/>
                    <w:rPr>
                      <w:kern w:val="2"/>
                      <w:szCs w:val="21"/>
                    </w:rPr>
                  </w:pPr>
                </w:p>
              </w:tc>
              <w:tc>
                <w:tcPr>
                  <w:tcW w:w="931" w:type="dxa"/>
                  <w:vMerge w:val="continue"/>
                  <w:vAlign w:val="center"/>
                </w:tcPr>
                <w:p>
                  <w:pPr>
                    <w:adjustRightInd/>
                    <w:spacing w:line="360" w:lineRule="auto"/>
                    <w:ind w:firstLine="420"/>
                    <w:jc w:val="center"/>
                    <w:textAlignment w:val="auto"/>
                    <w:rPr>
                      <w:kern w:val="2"/>
                      <w:szCs w:val="21"/>
                    </w:rPr>
                  </w:pPr>
                </w:p>
              </w:tc>
              <w:tc>
                <w:tcPr>
                  <w:tcW w:w="1011" w:type="dxa"/>
                  <w:vMerge w:val="continue"/>
                  <w:vAlign w:val="center"/>
                </w:tcPr>
                <w:p>
                  <w:pPr>
                    <w:adjustRightInd/>
                    <w:spacing w:line="360" w:lineRule="auto"/>
                    <w:jc w:val="center"/>
                    <w:textAlignment w:val="auto"/>
                    <w:rPr>
                      <w:kern w:val="2"/>
                      <w:szCs w:val="21"/>
                    </w:rPr>
                  </w:pPr>
                </w:p>
              </w:tc>
              <w:tc>
                <w:tcPr>
                  <w:tcW w:w="718" w:type="dxa"/>
                  <w:vMerge w:val="continue"/>
                  <w:vAlign w:val="center"/>
                </w:tcPr>
                <w:p>
                  <w:pPr>
                    <w:adjustRightInd/>
                    <w:spacing w:line="360" w:lineRule="auto"/>
                    <w:jc w:val="center"/>
                    <w:textAlignment w:val="auto"/>
                    <w:rPr>
                      <w:kern w:val="2"/>
                      <w:szCs w:val="21"/>
                    </w:rPr>
                  </w:pPr>
                </w:p>
              </w:tc>
              <w:tc>
                <w:tcPr>
                  <w:tcW w:w="559" w:type="dxa"/>
                  <w:vAlign w:val="center"/>
                </w:tcPr>
                <w:p>
                  <w:pPr>
                    <w:adjustRightInd/>
                    <w:spacing w:line="240" w:lineRule="auto"/>
                    <w:jc w:val="center"/>
                    <w:textAlignment w:val="auto"/>
                    <w:rPr>
                      <w:kern w:val="2"/>
                      <w:szCs w:val="21"/>
                    </w:rPr>
                  </w:pPr>
                  <w:r>
                    <w:rPr>
                      <w:rFonts w:hint="eastAsia"/>
                      <w:kern w:val="2"/>
                      <w:szCs w:val="21"/>
                    </w:rPr>
                    <w:t>高度（m)</w:t>
                  </w:r>
                </w:p>
              </w:tc>
              <w:tc>
                <w:tcPr>
                  <w:tcW w:w="718" w:type="dxa"/>
                  <w:vAlign w:val="center"/>
                </w:tcPr>
                <w:p>
                  <w:pPr>
                    <w:adjustRightInd/>
                    <w:spacing w:line="240" w:lineRule="auto"/>
                    <w:jc w:val="center"/>
                    <w:textAlignment w:val="auto"/>
                    <w:rPr>
                      <w:kern w:val="2"/>
                      <w:szCs w:val="21"/>
                    </w:rPr>
                  </w:pPr>
                  <w:r>
                    <w:rPr>
                      <w:rFonts w:hint="eastAsia"/>
                      <w:kern w:val="2"/>
                      <w:szCs w:val="21"/>
                    </w:rPr>
                    <w:t>内径（m）</w:t>
                  </w:r>
                </w:p>
              </w:tc>
              <w:tc>
                <w:tcPr>
                  <w:tcW w:w="612" w:type="dxa"/>
                  <w:vAlign w:val="center"/>
                </w:tcPr>
                <w:p>
                  <w:pPr>
                    <w:adjustRightInd/>
                    <w:spacing w:line="240" w:lineRule="auto"/>
                    <w:jc w:val="center"/>
                    <w:textAlignment w:val="auto"/>
                    <w:rPr>
                      <w:kern w:val="2"/>
                      <w:szCs w:val="21"/>
                    </w:rPr>
                  </w:pPr>
                  <w:r>
                    <w:rPr>
                      <w:rFonts w:hint="eastAsia"/>
                      <w:kern w:val="2"/>
                      <w:szCs w:val="21"/>
                    </w:rPr>
                    <w:t>温度（</w:t>
                  </w:r>
                  <w:r>
                    <w:rPr>
                      <w:kern w:val="2"/>
                      <w:szCs w:val="21"/>
                    </w:rPr>
                    <w:t>℃</w:t>
                  </w:r>
                  <w:r>
                    <w:rPr>
                      <w:rFonts w:hint="eastAsia"/>
                      <w:kern w:val="2"/>
                      <w:szCs w:val="21"/>
                    </w:rPr>
                    <w:t>)</w:t>
                  </w:r>
                </w:p>
              </w:tc>
              <w:tc>
                <w:tcPr>
                  <w:tcW w:w="719" w:type="dxa"/>
                  <w:vAlign w:val="center"/>
                </w:tcPr>
                <w:p>
                  <w:pPr>
                    <w:adjustRightInd/>
                    <w:spacing w:line="240" w:lineRule="auto"/>
                    <w:jc w:val="center"/>
                    <w:textAlignment w:val="auto"/>
                    <w:rPr>
                      <w:kern w:val="2"/>
                      <w:szCs w:val="21"/>
                    </w:rPr>
                  </w:pPr>
                  <w:r>
                    <w:rPr>
                      <w:rFonts w:hint="eastAsia"/>
                      <w:kern w:val="2"/>
                      <w:szCs w:val="21"/>
                    </w:rPr>
                    <w:t>流速（m/s)</w:t>
                  </w:r>
                </w:p>
              </w:tc>
              <w:tc>
                <w:tcPr>
                  <w:tcW w:w="667" w:type="dxa"/>
                  <w:vMerge w:val="continue"/>
                  <w:vAlign w:val="center"/>
                </w:tcPr>
                <w:p>
                  <w:pPr>
                    <w:adjustRightInd/>
                    <w:spacing w:line="360" w:lineRule="auto"/>
                    <w:ind w:firstLine="420"/>
                    <w:jc w:val="center"/>
                    <w:textAlignment w:val="auto"/>
                    <w:rPr>
                      <w:kern w:val="2"/>
                      <w:szCs w:val="21"/>
                    </w:rPr>
                  </w:pPr>
                </w:p>
              </w:tc>
              <w:tc>
                <w:tcPr>
                  <w:tcW w:w="1536" w:type="dxa"/>
                  <w:vMerge w:val="continue"/>
                  <w:vAlign w:val="center"/>
                </w:tcPr>
                <w:p>
                  <w:pPr>
                    <w:adjustRightInd/>
                    <w:spacing w:line="360" w:lineRule="auto"/>
                    <w:ind w:firstLine="420"/>
                    <w:jc w:val="center"/>
                    <w:textAlignment w:val="auto"/>
                    <w:rPr>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8" w:hRule="atLeast"/>
              </w:trPr>
              <w:tc>
                <w:tcPr>
                  <w:tcW w:w="665" w:type="dxa"/>
                  <w:vMerge w:val="restart"/>
                  <w:vAlign w:val="center"/>
                </w:tcPr>
                <w:p>
                  <w:pPr>
                    <w:adjustRightInd/>
                    <w:spacing w:line="360" w:lineRule="auto"/>
                    <w:jc w:val="center"/>
                    <w:textAlignment w:val="auto"/>
                    <w:rPr>
                      <w:kern w:val="2"/>
                      <w:szCs w:val="21"/>
                    </w:rPr>
                  </w:pPr>
                  <w:r>
                    <w:rPr>
                      <w:rFonts w:hint="eastAsia"/>
                      <w:kern w:val="2"/>
                      <w:szCs w:val="21"/>
                    </w:rPr>
                    <w:t>1</w:t>
                  </w:r>
                  <w:r>
                    <w:rPr>
                      <w:kern w:val="2"/>
                      <w:szCs w:val="21"/>
                    </w:rPr>
                    <w:t>20</w:t>
                  </w:r>
                  <w:r>
                    <w:rPr>
                      <w:rFonts w:hint="eastAsia"/>
                      <w:kern w:val="2"/>
                      <w:szCs w:val="21"/>
                    </w:rPr>
                    <w:t>t/d</w:t>
                  </w:r>
                </w:p>
              </w:tc>
              <w:tc>
                <w:tcPr>
                  <w:tcW w:w="931" w:type="dxa"/>
                  <w:vMerge w:val="restart"/>
                  <w:vAlign w:val="center"/>
                </w:tcPr>
                <w:p>
                  <w:pPr>
                    <w:adjustRightInd/>
                    <w:spacing w:line="360" w:lineRule="auto"/>
                    <w:jc w:val="center"/>
                    <w:textAlignment w:val="auto"/>
                    <w:rPr>
                      <w:kern w:val="2"/>
                      <w:szCs w:val="21"/>
                    </w:rPr>
                  </w:pPr>
                  <w:r>
                    <w:rPr>
                      <w:rFonts w:hint="eastAsia"/>
                      <w:kern w:val="2"/>
                      <w:szCs w:val="21"/>
                    </w:rPr>
                    <w:t>1</w:t>
                  </w:r>
                  <w:r>
                    <w:rPr>
                      <w:kern w:val="2"/>
                      <w:szCs w:val="21"/>
                    </w:rPr>
                    <w:t>#</w:t>
                  </w:r>
                  <w:r>
                    <w:rPr>
                      <w:rFonts w:hint="eastAsia"/>
                      <w:kern w:val="2"/>
                      <w:szCs w:val="21"/>
                    </w:rPr>
                    <w:t>排气筒</w:t>
                  </w:r>
                </w:p>
              </w:tc>
              <w:tc>
                <w:tcPr>
                  <w:tcW w:w="1011" w:type="dxa"/>
                  <w:vAlign w:val="center"/>
                </w:tcPr>
                <w:p>
                  <w:pPr>
                    <w:adjustRightInd/>
                    <w:spacing w:line="360" w:lineRule="auto"/>
                    <w:jc w:val="center"/>
                    <w:textAlignment w:val="auto"/>
                    <w:rPr>
                      <w:kern w:val="2"/>
                      <w:szCs w:val="21"/>
                    </w:rPr>
                  </w:pPr>
                  <w:r>
                    <w:t>N:40°32′24″</w:t>
                  </w:r>
                </w:p>
              </w:tc>
              <w:tc>
                <w:tcPr>
                  <w:tcW w:w="718" w:type="dxa"/>
                  <w:vMerge w:val="restart"/>
                  <w:vAlign w:val="center"/>
                </w:tcPr>
                <w:p>
                  <w:pPr>
                    <w:adjustRightInd/>
                    <w:spacing w:line="360" w:lineRule="auto"/>
                    <w:jc w:val="center"/>
                    <w:textAlignment w:val="auto"/>
                    <w:rPr>
                      <w:kern w:val="2"/>
                      <w:szCs w:val="21"/>
                    </w:rPr>
                  </w:pPr>
                  <w:r>
                    <w:rPr>
                      <w:rFonts w:hint="eastAsia"/>
                      <w:kern w:val="2"/>
                      <w:szCs w:val="21"/>
                    </w:rPr>
                    <w:t>5</w:t>
                  </w:r>
                  <w:r>
                    <w:rPr>
                      <w:kern w:val="2"/>
                      <w:szCs w:val="21"/>
                    </w:rPr>
                    <w:t>20</w:t>
                  </w:r>
                </w:p>
              </w:tc>
              <w:tc>
                <w:tcPr>
                  <w:tcW w:w="559" w:type="dxa"/>
                  <w:vMerge w:val="restart"/>
                  <w:vAlign w:val="center"/>
                </w:tcPr>
                <w:p>
                  <w:pPr>
                    <w:adjustRightInd/>
                    <w:spacing w:line="360" w:lineRule="auto"/>
                    <w:jc w:val="center"/>
                    <w:textAlignment w:val="auto"/>
                    <w:rPr>
                      <w:kern w:val="2"/>
                      <w:szCs w:val="21"/>
                    </w:rPr>
                  </w:pPr>
                  <w:r>
                    <w:rPr>
                      <w:rFonts w:hint="eastAsia"/>
                      <w:kern w:val="2"/>
                      <w:szCs w:val="21"/>
                    </w:rPr>
                    <w:t>1</w:t>
                  </w:r>
                  <w:r>
                    <w:rPr>
                      <w:kern w:val="2"/>
                      <w:szCs w:val="21"/>
                    </w:rPr>
                    <w:t>5</w:t>
                  </w:r>
                </w:p>
              </w:tc>
              <w:tc>
                <w:tcPr>
                  <w:tcW w:w="718" w:type="dxa"/>
                  <w:vMerge w:val="restart"/>
                  <w:vAlign w:val="center"/>
                </w:tcPr>
                <w:p>
                  <w:pPr>
                    <w:adjustRightInd/>
                    <w:spacing w:line="360" w:lineRule="auto"/>
                    <w:jc w:val="center"/>
                    <w:textAlignment w:val="auto"/>
                    <w:rPr>
                      <w:kern w:val="2"/>
                      <w:szCs w:val="21"/>
                    </w:rPr>
                  </w:pPr>
                  <w:r>
                    <w:rPr>
                      <w:rFonts w:hint="eastAsia"/>
                      <w:kern w:val="2"/>
                      <w:szCs w:val="21"/>
                    </w:rPr>
                    <w:t>1</w:t>
                  </w:r>
                </w:p>
              </w:tc>
              <w:tc>
                <w:tcPr>
                  <w:tcW w:w="612" w:type="dxa"/>
                  <w:vMerge w:val="restart"/>
                  <w:vAlign w:val="center"/>
                </w:tcPr>
                <w:p>
                  <w:pPr>
                    <w:adjustRightInd/>
                    <w:spacing w:line="360" w:lineRule="auto"/>
                    <w:jc w:val="center"/>
                    <w:textAlignment w:val="auto"/>
                    <w:rPr>
                      <w:kern w:val="2"/>
                      <w:szCs w:val="21"/>
                    </w:rPr>
                  </w:pPr>
                  <w:r>
                    <w:rPr>
                      <w:rFonts w:hint="eastAsia"/>
                      <w:kern w:val="2"/>
                      <w:szCs w:val="21"/>
                    </w:rPr>
                    <w:t>2</w:t>
                  </w:r>
                  <w:r>
                    <w:rPr>
                      <w:kern w:val="2"/>
                      <w:szCs w:val="21"/>
                    </w:rPr>
                    <w:t>5</w:t>
                  </w:r>
                </w:p>
              </w:tc>
              <w:tc>
                <w:tcPr>
                  <w:tcW w:w="719" w:type="dxa"/>
                  <w:vMerge w:val="restart"/>
                  <w:vAlign w:val="center"/>
                </w:tcPr>
                <w:p>
                  <w:pPr>
                    <w:adjustRightInd/>
                    <w:spacing w:line="360" w:lineRule="auto"/>
                    <w:jc w:val="center"/>
                    <w:textAlignment w:val="auto"/>
                    <w:rPr>
                      <w:kern w:val="2"/>
                      <w:szCs w:val="21"/>
                    </w:rPr>
                  </w:pPr>
                  <w:r>
                    <w:rPr>
                      <w:kern w:val="2"/>
                      <w:szCs w:val="21"/>
                    </w:rPr>
                    <w:t>20.43</w:t>
                  </w:r>
                </w:p>
              </w:tc>
              <w:tc>
                <w:tcPr>
                  <w:tcW w:w="667" w:type="dxa"/>
                  <w:vAlign w:val="center"/>
                </w:tcPr>
                <w:p>
                  <w:pPr>
                    <w:adjustRightInd/>
                    <w:spacing w:line="360" w:lineRule="auto"/>
                    <w:jc w:val="center"/>
                    <w:textAlignment w:val="auto"/>
                    <w:rPr>
                      <w:kern w:val="2"/>
                      <w:szCs w:val="21"/>
                    </w:rPr>
                  </w:pPr>
                  <w:r>
                    <w:rPr>
                      <w:rFonts w:hint="eastAsia"/>
                      <w:kern w:val="2"/>
                      <w:szCs w:val="21"/>
                    </w:rPr>
                    <w:t>NH</w:t>
                  </w:r>
                  <w:r>
                    <w:rPr>
                      <w:rFonts w:hint="eastAsia"/>
                      <w:kern w:val="2"/>
                      <w:szCs w:val="21"/>
                      <w:vertAlign w:val="subscript"/>
                    </w:rPr>
                    <w:t>3</w:t>
                  </w:r>
                </w:p>
              </w:tc>
              <w:tc>
                <w:tcPr>
                  <w:tcW w:w="1536" w:type="dxa"/>
                </w:tcPr>
                <w:p>
                  <w:pPr>
                    <w:adjustRightInd/>
                    <w:spacing w:line="360" w:lineRule="auto"/>
                    <w:jc w:val="center"/>
                    <w:textAlignment w:val="auto"/>
                    <w:rPr>
                      <w:kern w:val="2"/>
                      <w:szCs w:val="21"/>
                    </w:rPr>
                  </w:pPr>
                  <w:r>
                    <w:rPr>
                      <w:kern w:val="2"/>
                      <w:szCs w:val="21"/>
                    </w:rPr>
                    <w:t>0.00036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7" w:hRule="atLeast"/>
              </w:trPr>
              <w:tc>
                <w:tcPr>
                  <w:tcW w:w="654" w:type="dxa"/>
                  <w:vMerge w:val="continue"/>
                  <w:vAlign w:val="center"/>
                </w:tcPr>
                <w:p>
                  <w:pPr>
                    <w:adjustRightInd/>
                    <w:spacing w:line="360" w:lineRule="auto"/>
                    <w:jc w:val="center"/>
                    <w:textAlignment w:val="auto"/>
                    <w:rPr>
                      <w:kern w:val="2"/>
                      <w:szCs w:val="21"/>
                    </w:rPr>
                  </w:pPr>
                </w:p>
              </w:tc>
              <w:tc>
                <w:tcPr>
                  <w:tcW w:w="931" w:type="dxa"/>
                  <w:vMerge w:val="continue"/>
                  <w:vAlign w:val="center"/>
                </w:tcPr>
                <w:p>
                  <w:pPr>
                    <w:adjustRightInd/>
                    <w:spacing w:line="360" w:lineRule="auto"/>
                    <w:jc w:val="center"/>
                    <w:textAlignment w:val="auto"/>
                    <w:rPr>
                      <w:kern w:val="2"/>
                      <w:szCs w:val="21"/>
                    </w:rPr>
                  </w:pPr>
                </w:p>
              </w:tc>
              <w:tc>
                <w:tcPr>
                  <w:tcW w:w="1196" w:type="dxa"/>
                  <w:vAlign w:val="center"/>
                </w:tcPr>
                <w:p>
                  <w:pPr>
                    <w:adjustRightInd/>
                    <w:spacing w:line="360" w:lineRule="auto"/>
                    <w:jc w:val="center"/>
                    <w:textAlignment w:val="auto"/>
                    <w:rPr>
                      <w:kern w:val="2"/>
                      <w:szCs w:val="21"/>
                    </w:rPr>
                  </w:pPr>
                  <w:r>
                    <w:t>E:117°41′24″</w:t>
                  </w:r>
                </w:p>
              </w:tc>
              <w:tc>
                <w:tcPr>
                  <w:tcW w:w="707" w:type="dxa"/>
                  <w:vMerge w:val="continue"/>
                  <w:vAlign w:val="center"/>
                </w:tcPr>
                <w:p>
                  <w:pPr>
                    <w:adjustRightInd/>
                    <w:spacing w:line="360" w:lineRule="auto"/>
                    <w:jc w:val="center"/>
                    <w:textAlignment w:val="auto"/>
                    <w:rPr>
                      <w:kern w:val="2"/>
                      <w:szCs w:val="21"/>
                    </w:rPr>
                  </w:pPr>
                </w:p>
              </w:tc>
              <w:tc>
                <w:tcPr>
                  <w:tcW w:w="550" w:type="dxa"/>
                  <w:vMerge w:val="continue"/>
                  <w:vAlign w:val="center"/>
                </w:tcPr>
                <w:p>
                  <w:pPr>
                    <w:adjustRightInd/>
                    <w:spacing w:line="360" w:lineRule="auto"/>
                    <w:jc w:val="center"/>
                    <w:textAlignment w:val="auto"/>
                    <w:rPr>
                      <w:kern w:val="2"/>
                      <w:szCs w:val="21"/>
                    </w:rPr>
                  </w:pPr>
                </w:p>
              </w:tc>
              <w:tc>
                <w:tcPr>
                  <w:tcW w:w="707" w:type="dxa"/>
                  <w:vMerge w:val="continue"/>
                  <w:vAlign w:val="center"/>
                </w:tcPr>
                <w:p>
                  <w:pPr>
                    <w:adjustRightInd/>
                    <w:spacing w:line="360" w:lineRule="auto"/>
                    <w:jc w:val="center"/>
                    <w:textAlignment w:val="auto"/>
                    <w:rPr>
                      <w:kern w:val="2"/>
                      <w:szCs w:val="21"/>
                    </w:rPr>
                  </w:pPr>
                </w:p>
              </w:tc>
              <w:tc>
                <w:tcPr>
                  <w:tcW w:w="602" w:type="dxa"/>
                  <w:vMerge w:val="continue"/>
                  <w:vAlign w:val="center"/>
                </w:tcPr>
                <w:p>
                  <w:pPr>
                    <w:adjustRightInd/>
                    <w:spacing w:line="360" w:lineRule="auto"/>
                    <w:jc w:val="center"/>
                    <w:textAlignment w:val="auto"/>
                    <w:rPr>
                      <w:kern w:val="2"/>
                      <w:szCs w:val="21"/>
                    </w:rPr>
                  </w:pPr>
                </w:p>
              </w:tc>
              <w:tc>
                <w:tcPr>
                  <w:tcW w:w="707" w:type="dxa"/>
                  <w:vMerge w:val="continue"/>
                  <w:vAlign w:val="center"/>
                </w:tcPr>
                <w:p>
                  <w:pPr>
                    <w:adjustRightInd/>
                    <w:spacing w:line="360" w:lineRule="auto"/>
                    <w:jc w:val="center"/>
                    <w:textAlignment w:val="auto"/>
                    <w:rPr>
                      <w:kern w:val="2"/>
                      <w:szCs w:val="21"/>
                    </w:rPr>
                  </w:pPr>
                </w:p>
              </w:tc>
              <w:tc>
                <w:tcPr>
                  <w:tcW w:w="632" w:type="dxa"/>
                  <w:vAlign w:val="center"/>
                </w:tcPr>
                <w:p>
                  <w:pPr>
                    <w:adjustRightInd/>
                    <w:spacing w:line="360" w:lineRule="auto"/>
                    <w:jc w:val="center"/>
                    <w:textAlignment w:val="auto"/>
                    <w:rPr>
                      <w:kern w:val="2"/>
                      <w:szCs w:val="21"/>
                    </w:rPr>
                  </w:pPr>
                  <w:r>
                    <w:rPr>
                      <w:rFonts w:hint="eastAsia"/>
                      <w:kern w:val="2"/>
                      <w:szCs w:val="21"/>
                    </w:rPr>
                    <w:t>H</w:t>
                  </w:r>
                  <w:r>
                    <w:rPr>
                      <w:rFonts w:hint="eastAsia"/>
                      <w:kern w:val="2"/>
                      <w:szCs w:val="21"/>
                      <w:vertAlign w:val="subscript"/>
                    </w:rPr>
                    <w:t>2</w:t>
                  </w:r>
                  <w:r>
                    <w:rPr>
                      <w:rFonts w:hint="eastAsia"/>
                      <w:kern w:val="2"/>
                      <w:szCs w:val="21"/>
                    </w:rPr>
                    <w:t>S</w:t>
                  </w:r>
                </w:p>
              </w:tc>
              <w:tc>
                <w:tcPr>
                  <w:tcW w:w="1450" w:type="dxa"/>
                </w:tcPr>
                <w:p>
                  <w:pPr>
                    <w:adjustRightInd/>
                    <w:spacing w:line="360" w:lineRule="auto"/>
                    <w:jc w:val="center"/>
                    <w:textAlignment w:val="auto"/>
                    <w:rPr>
                      <w:kern w:val="2"/>
                      <w:szCs w:val="21"/>
                    </w:rPr>
                  </w:pPr>
                  <w:r>
                    <w:rPr>
                      <w:kern w:val="2"/>
                      <w:szCs w:val="21"/>
                    </w:rPr>
                    <w:t>0.0000375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7" w:hRule="atLeast"/>
              </w:trPr>
              <w:tc>
                <w:tcPr>
                  <w:tcW w:w="654" w:type="dxa"/>
                  <w:vMerge w:val="restart"/>
                  <w:vAlign w:val="center"/>
                </w:tcPr>
                <w:p>
                  <w:pPr>
                    <w:adjustRightInd/>
                    <w:spacing w:line="360" w:lineRule="auto"/>
                    <w:jc w:val="center"/>
                    <w:textAlignment w:val="auto"/>
                    <w:rPr>
                      <w:kern w:val="2"/>
                      <w:szCs w:val="21"/>
                    </w:rPr>
                  </w:pPr>
                  <w:r>
                    <w:rPr>
                      <w:rFonts w:hint="eastAsia"/>
                      <w:kern w:val="2"/>
                      <w:szCs w:val="21"/>
                    </w:rPr>
                    <w:t>2</w:t>
                  </w:r>
                  <w:r>
                    <w:rPr>
                      <w:kern w:val="2"/>
                      <w:szCs w:val="21"/>
                    </w:rPr>
                    <w:t>0</w:t>
                  </w:r>
                  <w:r>
                    <w:rPr>
                      <w:rFonts w:hint="eastAsia"/>
                      <w:kern w:val="2"/>
                      <w:szCs w:val="21"/>
                    </w:rPr>
                    <w:t>t/d</w:t>
                  </w:r>
                </w:p>
              </w:tc>
              <w:tc>
                <w:tcPr>
                  <w:tcW w:w="931" w:type="dxa"/>
                  <w:vMerge w:val="restart"/>
                  <w:vAlign w:val="center"/>
                </w:tcPr>
                <w:p>
                  <w:pPr>
                    <w:adjustRightInd/>
                    <w:spacing w:line="360" w:lineRule="auto"/>
                    <w:jc w:val="center"/>
                    <w:textAlignment w:val="auto"/>
                    <w:rPr>
                      <w:kern w:val="2"/>
                      <w:szCs w:val="21"/>
                    </w:rPr>
                  </w:pPr>
                  <w:r>
                    <w:rPr>
                      <w:kern w:val="2"/>
                      <w:szCs w:val="21"/>
                    </w:rPr>
                    <w:t>2#</w:t>
                  </w:r>
                  <w:r>
                    <w:rPr>
                      <w:rFonts w:hint="eastAsia"/>
                      <w:kern w:val="2"/>
                      <w:szCs w:val="21"/>
                    </w:rPr>
                    <w:t>排气筒</w:t>
                  </w:r>
                </w:p>
              </w:tc>
              <w:tc>
                <w:tcPr>
                  <w:tcW w:w="1196" w:type="dxa"/>
                  <w:vAlign w:val="center"/>
                </w:tcPr>
                <w:p>
                  <w:pPr>
                    <w:adjustRightInd/>
                    <w:spacing w:line="360" w:lineRule="auto"/>
                    <w:jc w:val="center"/>
                    <w:textAlignment w:val="auto"/>
                    <w:rPr>
                      <w:kern w:val="2"/>
                      <w:szCs w:val="21"/>
                    </w:rPr>
                  </w:pPr>
                  <w:r>
                    <w:t>N:40°36′00″</w:t>
                  </w:r>
                </w:p>
              </w:tc>
              <w:tc>
                <w:tcPr>
                  <w:tcW w:w="707" w:type="dxa"/>
                  <w:vMerge w:val="restart"/>
                  <w:vAlign w:val="center"/>
                </w:tcPr>
                <w:p>
                  <w:pPr>
                    <w:adjustRightInd/>
                    <w:spacing w:line="360" w:lineRule="auto"/>
                    <w:jc w:val="center"/>
                    <w:textAlignment w:val="auto"/>
                    <w:rPr>
                      <w:kern w:val="2"/>
                      <w:szCs w:val="21"/>
                    </w:rPr>
                  </w:pPr>
                  <w:r>
                    <w:rPr>
                      <w:rFonts w:hint="eastAsia"/>
                      <w:kern w:val="2"/>
                      <w:szCs w:val="21"/>
                    </w:rPr>
                    <w:t>4</w:t>
                  </w:r>
                  <w:r>
                    <w:rPr>
                      <w:kern w:val="2"/>
                      <w:szCs w:val="21"/>
                    </w:rPr>
                    <w:t>36</w:t>
                  </w:r>
                </w:p>
              </w:tc>
              <w:tc>
                <w:tcPr>
                  <w:tcW w:w="550" w:type="dxa"/>
                  <w:vMerge w:val="continue"/>
                  <w:vAlign w:val="center"/>
                </w:tcPr>
                <w:p>
                  <w:pPr>
                    <w:adjustRightInd/>
                    <w:spacing w:line="360" w:lineRule="auto"/>
                    <w:jc w:val="center"/>
                    <w:textAlignment w:val="auto"/>
                    <w:rPr>
                      <w:kern w:val="2"/>
                      <w:szCs w:val="21"/>
                    </w:rPr>
                  </w:pPr>
                </w:p>
              </w:tc>
              <w:tc>
                <w:tcPr>
                  <w:tcW w:w="707" w:type="dxa"/>
                  <w:vMerge w:val="continue"/>
                  <w:vAlign w:val="center"/>
                </w:tcPr>
                <w:p>
                  <w:pPr>
                    <w:adjustRightInd/>
                    <w:spacing w:line="360" w:lineRule="auto"/>
                    <w:jc w:val="center"/>
                    <w:textAlignment w:val="auto"/>
                    <w:rPr>
                      <w:kern w:val="2"/>
                      <w:szCs w:val="21"/>
                    </w:rPr>
                  </w:pPr>
                </w:p>
              </w:tc>
              <w:tc>
                <w:tcPr>
                  <w:tcW w:w="602" w:type="dxa"/>
                  <w:vMerge w:val="continue"/>
                  <w:vAlign w:val="center"/>
                </w:tcPr>
                <w:p>
                  <w:pPr>
                    <w:adjustRightInd/>
                    <w:spacing w:line="360" w:lineRule="auto"/>
                    <w:jc w:val="center"/>
                    <w:textAlignment w:val="auto"/>
                    <w:rPr>
                      <w:kern w:val="2"/>
                      <w:szCs w:val="21"/>
                    </w:rPr>
                  </w:pPr>
                </w:p>
              </w:tc>
              <w:tc>
                <w:tcPr>
                  <w:tcW w:w="707" w:type="dxa"/>
                  <w:vMerge w:val="continue"/>
                  <w:vAlign w:val="center"/>
                </w:tcPr>
                <w:p>
                  <w:pPr>
                    <w:adjustRightInd/>
                    <w:spacing w:line="360" w:lineRule="auto"/>
                    <w:jc w:val="center"/>
                    <w:textAlignment w:val="auto"/>
                    <w:rPr>
                      <w:kern w:val="2"/>
                      <w:szCs w:val="21"/>
                    </w:rPr>
                  </w:pPr>
                </w:p>
              </w:tc>
              <w:tc>
                <w:tcPr>
                  <w:tcW w:w="632" w:type="dxa"/>
                  <w:vAlign w:val="center"/>
                </w:tcPr>
                <w:p>
                  <w:pPr>
                    <w:adjustRightInd/>
                    <w:spacing w:line="360" w:lineRule="auto"/>
                    <w:jc w:val="center"/>
                    <w:textAlignment w:val="auto"/>
                    <w:rPr>
                      <w:kern w:val="2"/>
                      <w:szCs w:val="21"/>
                    </w:rPr>
                  </w:pPr>
                  <w:r>
                    <w:rPr>
                      <w:rFonts w:hint="eastAsia"/>
                      <w:kern w:val="2"/>
                      <w:szCs w:val="21"/>
                    </w:rPr>
                    <w:t>NH</w:t>
                  </w:r>
                  <w:r>
                    <w:rPr>
                      <w:rFonts w:hint="eastAsia"/>
                      <w:kern w:val="2"/>
                      <w:szCs w:val="21"/>
                      <w:vertAlign w:val="subscript"/>
                    </w:rPr>
                    <w:t>3</w:t>
                  </w:r>
                </w:p>
              </w:tc>
              <w:tc>
                <w:tcPr>
                  <w:tcW w:w="1450" w:type="dxa"/>
                </w:tcPr>
                <w:p>
                  <w:pPr>
                    <w:adjustRightInd/>
                    <w:spacing w:line="360" w:lineRule="auto"/>
                    <w:jc w:val="center"/>
                    <w:textAlignment w:val="auto"/>
                    <w:rPr>
                      <w:kern w:val="2"/>
                      <w:szCs w:val="21"/>
                    </w:rPr>
                  </w:pPr>
                  <w:r>
                    <w:rPr>
                      <w:kern w:val="2"/>
                      <w:szCs w:val="21"/>
                    </w:rPr>
                    <w:t>0.00006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7" w:hRule="atLeast"/>
              </w:trPr>
              <w:tc>
                <w:tcPr>
                  <w:tcW w:w="654" w:type="dxa"/>
                  <w:vMerge w:val="continue"/>
                  <w:vAlign w:val="center"/>
                </w:tcPr>
                <w:p>
                  <w:pPr>
                    <w:adjustRightInd/>
                    <w:spacing w:line="360" w:lineRule="auto"/>
                    <w:jc w:val="center"/>
                    <w:textAlignment w:val="auto"/>
                    <w:rPr>
                      <w:kern w:val="2"/>
                      <w:szCs w:val="21"/>
                    </w:rPr>
                  </w:pPr>
                </w:p>
              </w:tc>
              <w:tc>
                <w:tcPr>
                  <w:tcW w:w="931" w:type="dxa"/>
                  <w:vMerge w:val="continue"/>
                  <w:vAlign w:val="center"/>
                </w:tcPr>
                <w:p>
                  <w:pPr>
                    <w:adjustRightInd/>
                    <w:spacing w:line="360" w:lineRule="auto"/>
                    <w:jc w:val="center"/>
                    <w:textAlignment w:val="auto"/>
                    <w:rPr>
                      <w:kern w:val="2"/>
                      <w:szCs w:val="21"/>
                    </w:rPr>
                  </w:pPr>
                </w:p>
              </w:tc>
              <w:tc>
                <w:tcPr>
                  <w:tcW w:w="1196" w:type="dxa"/>
                  <w:vAlign w:val="center"/>
                </w:tcPr>
                <w:p>
                  <w:pPr>
                    <w:adjustRightInd/>
                    <w:spacing w:line="360" w:lineRule="auto"/>
                    <w:jc w:val="center"/>
                    <w:textAlignment w:val="auto"/>
                    <w:rPr>
                      <w:kern w:val="2"/>
                      <w:szCs w:val="21"/>
                    </w:rPr>
                  </w:pPr>
                  <w:r>
                    <w:t>E:117°46′12″</w:t>
                  </w:r>
                </w:p>
              </w:tc>
              <w:tc>
                <w:tcPr>
                  <w:tcW w:w="707" w:type="dxa"/>
                  <w:vMerge w:val="continue"/>
                  <w:vAlign w:val="center"/>
                </w:tcPr>
                <w:p>
                  <w:pPr>
                    <w:adjustRightInd/>
                    <w:spacing w:line="360" w:lineRule="auto"/>
                    <w:jc w:val="center"/>
                    <w:textAlignment w:val="auto"/>
                    <w:rPr>
                      <w:kern w:val="2"/>
                      <w:szCs w:val="21"/>
                    </w:rPr>
                  </w:pPr>
                </w:p>
              </w:tc>
              <w:tc>
                <w:tcPr>
                  <w:tcW w:w="550" w:type="dxa"/>
                  <w:vMerge w:val="continue"/>
                  <w:vAlign w:val="center"/>
                </w:tcPr>
                <w:p>
                  <w:pPr>
                    <w:adjustRightInd/>
                    <w:spacing w:line="360" w:lineRule="auto"/>
                    <w:jc w:val="center"/>
                    <w:textAlignment w:val="auto"/>
                    <w:rPr>
                      <w:kern w:val="2"/>
                      <w:szCs w:val="21"/>
                    </w:rPr>
                  </w:pPr>
                </w:p>
              </w:tc>
              <w:tc>
                <w:tcPr>
                  <w:tcW w:w="707" w:type="dxa"/>
                  <w:vMerge w:val="continue"/>
                  <w:vAlign w:val="center"/>
                </w:tcPr>
                <w:p>
                  <w:pPr>
                    <w:adjustRightInd/>
                    <w:spacing w:line="360" w:lineRule="auto"/>
                    <w:jc w:val="center"/>
                    <w:textAlignment w:val="auto"/>
                    <w:rPr>
                      <w:kern w:val="2"/>
                      <w:szCs w:val="21"/>
                    </w:rPr>
                  </w:pPr>
                </w:p>
              </w:tc>
              <w:tc>
                <w:tcPr>
                  <w:tcW w:w="602" w:type="dxa"/>
                  <w:vMerge w:val="continue"/>
                  <w:vAlign w:val="center"/>
                </w:tcPr>
                <w:p>
                  <w:pPr>
                    <w:adjustRightInd/>
                    <w:spacing w:line="360" w:lineRule="auto"/>
                    <w:jc w:val="center"/>
                    <w:textAlignment w:val="auto"/>
                    <w:rPr>
                      <w:kern w:val="2"/>
                      <w:szCs w:val="21"/>
                    </w:rPr>
                  </w:pPr>
                </w:p>
              </w:tc>
              <w:tc>
                <w:tcPr>
                  <w:tcW w:w="707" w:type="dxa"/>
                  <w:vMerge w:val="continue"/>
                  <w:vAlign w:val="center"/>
                </w:tcPr>
                <w:p>
                  <w:pPr>
                    <w:adjustRightInd/>
                    <w:spacing w:line="360" w:lineRule="auto"/>
                    <w:jc w:val="center"/>
                    <w:textAlignment w:val="auto"/>
                    <w:rPr>
                      <w:kern w:val="2"/>
                      <w:szCs w:val="21"/>
                    </w:rPr>
                  </w:pPr>
                </w:p>
              </w:tc>
              <w:tc>
                <w:tcPr>
                  <w:tcW w:w="632" w:type="dxa"/>
                  <w:vAlign w:val="center"/>
                </w:tcPr>
                <w:p>
                  <w:pPr>
                    <w:adjustRightInd/>
                    <w:spacing w:line="360" w:lineRule="auto"/>
                    <w:jc w:val="center"/>
                    <w:textAlignment w:val="auto"/>
                    <w:rPr>
                      <w:kern w:val="2"/>
                      <w:szCs w:val="21"/>
                    </w:rPr>
                  </w:pPr>
                  <w:r>
                    <w:rPr>
                      <w:rFonts w:hint="eastAsia"/>
                      <w:kern w:val="2"/>
                      <w:szCs w:val="21"/>
                    </w:rPr>
                    <w:t>H</w:t>
                  </w:r>
                  <w:r>
                    <w:rPr>
                      <w:rFonts w:hint="eastAsia"/>
                      <w:kern w:val="2"/>
                      <w:szCs w:val="21"/>
                      <w:vertAlign w:val="subscript"/>
                    </w:rPr>
                    <w:t>2</w:t>
                  </w:r>
                  <w:r>
                    <w:rPr>
                      <w:rFonts w:hint="eastAsia"/>
                      <w:kern w:val="2"/>
                      <w:szCs w:val="21"/>
                    </w:rPr>
                    <w:t>S</w:t>
                  </w:r>
                </w:p>
              </w:tc>
              <w:tc>
                <w:tcPr>
                  <w:tcW w:w="1450" w:type="dxa"/>
                </w:tcPr>
                <w:p>
                  <w:pPr>
                    <w:adjustRightInd/>
                    <w:spacing w:line="360" w:lineRule="auto"/>
                    <w:jc w:val="center"/>
                    <w:textAlignment w:val="auto"/>
                    <w:rPr>
                      <w:kern w:val="2"/>
                      <w:szCs w:val="21"/>
                    </w:rPr>
                  </w:pPr>
                  <w:r>
                    <w:rPr>
                      <w:kern w:val="2"/>
                      <w:szCs w:val="21"/>
                    </w:rPr>
                    <w:t>0.0000065</w:t>
                  </w:r>
                </w:p>
              </w:tc>
            </w:tr>
          </w:tbl>
          <w:p>
            <w:pPr>
              <w:spacing w:line="360" w:lineRule="auto"/>
              <w:jc w:val="center"/>
              <w:rPr>
                <w:sz w:val="24"/>
                <w:szCs w:val="24"/>
              </w:rPr>
            </w:pPr>
            <w:r>
              <w:rPr>
                <w:sz w:val="24"/>
                <w:szCs w:val="24"/>
              </w:rPr>
              <w:t xml:space="preserve">表27 </w:t>
            </w:r>
            <w:r>
              <w:rPr>
                <w:rFonts w:hint="eastAsia"/>
                <w:sz w:val="24"/>
                <w:szCs w:val="24"/>
              </w:rPr>
              <w:t>垃圾转运站</w:t>
            </w:r>
            <w:r>
              <w:rPr>
                <w:sz w:val="24"/>
                <w:szCs w:val="24"/>
              </w:rPr>
              <w:t>主要废气污染源参数一览表(矩形面源)</w:t>
            </w:r>
          </w:p>
          <w:tbl>
            <w:tblPr>
              <w:tblStyle w:val="28"/>
              <w:tblW w:w="82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06"/>
              <w:gridCol w:w="1348"/>
              <w:gridCol w:w="1092"/>
              <w:gridCol w:w="932"/>
              <w:gridCol w:w="1302"/>
              <w:gridCol w:w="1078"/>
              <w:gridCol w:w="1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4" w:hRule="atLeast"/>
              </w:trPr>
              <w:tc>
                <w:tcPr>
                  <w:tcW w:w="906" w:type="dxa"/>
                  <w:vMerge w:val="restart"/>
                  <w:vAlign w:val="center"/>
                </w:tcPr>
                <w:p>
                  <w:pPr>
                    <w:adjustRightInd/>
                    <w:spacing w:line="240" w:lineRule="auto"/>
                    <w:jc w:val="center"/>
                    <w:textAlignment w:val="auto"/>
                    <w:rPr>
                      <w:kern w:val="2"/>
                      <w:szCs w:val="21"/>
                    </w:rPr>
                  </w:pPr>
                  <w:r>
                    <w:rPr>
                      <w:rFonts w:hint="eastAsia"/>
                      <w:kern w:val="2"/>
                      <w:szCs w:val="21"/>
                    </w:rPr>
                    <w:t>转运站规模</w:t>
                  </w:r>
                </w:p>
              </w:tc>
              <w:tc>
                <w:tcPr>
                  <w:tcW w:w="1348" w:type="dxa"/>
                  <w:vMerge w:val="restart"/>
                  <w:vAlign w:val="center"/>
                </w:tcPr>
                <w:p>
                  <w:pPr>
                    <w:adjustRightInd/>
                    <w:spacing w:line="240" w:lineRule="auto"/>
                    <w:jc w:val="center"/>
                    <w:textAlignment w:val="auto"/>
                    <w:rPr>
                      <w:kern w:val="2"/>
                      <w:szCs w:val="21"/>
                    </w:rPr>
                  </w:pPr>
                  <w:r>
                    <w:rPr>
                      <w:rFonts w:hint="eastAsia"/>
                      <w:kern w:val="2"/>
                      <w:szCs w:val="21"/>
                    </w:rPr>
                    <w:t>污</w:t>
                  </w:r>
                  <w:r>
                    <w:rPr>
                      <w:kern w:val="2"/>
                      <w:szCs w:val="21"/>
                    </w:rPr>
                    <w:t>染源名称</w:t>
                  </w:r>
                </w:p>
              </w:tc>
              <w:tc>
                <w:tcPr>
                  <w:tcW w:w="3326" w:type="dxa"/>
                  <w:gridSpan w:val="3"/>
                  <w:vAlign w:val="center"/>
                </w:tcPr>
                <w:p>
                  <w:pPr>
                    <w:adjustRightInd/>
                    <w:snapToGrid w:val="0"/>
                    <w:spacing w:line="240" w:lineRule="auto"/>
                    <w:ind w:firstLine="420"/>
                    <w:jc w:val="center"/>
                    <w:textAlignment w:val="auto"/>
                    <w:rPr>
                      <w:kern w:val="2"/>
                      <w:szCs w:val="21"/>
                    </w:rPr>
                  </w:pPr>
                  <w:r>
                    <w:rPr>
                      <w:kern w:val="2"/>
                      <w:szCs w:val="21"/>
                    </w:rPr>
                    <w:t>矩形面源参数</w:t>
                  </w:r>
                </w:p>
              </w:tc>
              <w:tc>
                <w:tcPr>
                  <w:tcW w:w="1078" w:type="dxa"/>
                  <w:vMerge w:val="restart"/>
                  <w:vAlign w:val="center"/>
                </w:tcPr>
                <w:p>
                  <w:pPr>
                    <w:adjustRightInd/>
                    <w:snapToGrid w:val="0"/>
                    <w:spacing w:line="240" w:lineRule="auto"/>
                    <w:jc w:val="center"/>
                    <w:textAlignment w:val="auto"/>
                    <w:rPr>
                      <w:kern w:val="2"/>
                      <w:szCs w:val="21"/>
                    </w:rPr>
                  </w:pPr>
                  <w:r>
                    <w:rPr>
                      <w:rFonts w:hint="eastAsia"/>
                      <w:kern w:val="2"/>
                      <w:szCs w:val="21"/>
                    </w:rPr>
                    <w:t>污</w:t>
                  </w:r>
                  <w:r>
                    <w:rPr>
                      <w:kern w:val="2"/>
                      <w:szCs w:val="21"/>
                    </w:rPr>
                    <w:t>染物名称</w:t>
                  </w:r>
                </w:p>
              </w:tc>
              <w:tc>
                <w:tcPr>
                  <w:tcW w:w="1588" w:type="dxa"/>
                  <w:vMerge w:val="restart"/>
                  <w:vAlign w:val="center"/>
                </w:tcPr>
                <w:p>
                  <w:pPr>
                    <w:adjustRightInd/>
                    <w:snapToGrid w:val="0"/>
                    <w:spacing w:line="240" w:lineRule="auto"/>
                    <w:jc w:val="center"/>
                    <w:textAlignment w:val="auto"/>
                    <w:rPr>
                      <w:kern w:val="2"/>
                      <w:szCs w:val="21"/>
                    </w:rPr>
                  </w:pPr>
                  <w:r>
                    <w:rPr>
                      <w:rFonts w:hint="eastAsia"/>
                      <w:kern w:val="2"/>
                      <w:szCs w:val="21"/>
                    </w:rPr>
                    <w:t>排</w:t>
                  </w:r>
                  <w:r>
                    <w:rPr>
                      <w:kern w:val="2"/>
                      <w:szCs w:val="21"/>
                    </w:rPr>
                    <w:t>放速率</w:t>
                  </w:r>
                  <w:r>
                    <w:rPr>
                      <w:rFonts w:hint="eastAsia"/>
                      <w:kern w:val="2"/>
                      <w:szCs w:val="21"/>
                    </w:rPr>
                    <w:t>（g/s）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34" w:hRule="atLeast"/>
              </w:trPr>
              <w:tc>
                <w:tcPr>
                  <w:tcW w:w="906" w:type="dxa"/>
                  <w:vMerge w:val="continue"/>
                  <w:vAlign w:val="center"/>
                </w:tcPr>
                <w:p>
                  <w:pPr>
                    <w:adjustRightInd/>
                    <w:snapToGrid w:val="0"/>
                    <w:spacing w:line="360" w:lineRule="auto"/>
                    <w:ind w:firstLine="420"/>
                    <w:jc w:val="center"/>
                    <w:textAlignment w:val="auto"/>
                    <w:rPr>
                      <w:kern w:val="2"/>
                      <w:szCs w:val="21"/>
                    </w:rPr>
                  </w:pPr>
                </w:p>
              </w:tc>
              <w:tc>
                <w:tcPr>
                  <w:tcW w:w="1348" w:type="dxa"/>
                  <w:vMerge w:val="continue"/>
                  <w:vAlign w:val="center"/>
                </w:tcPr>
                <w:p>
                  <w:pPr>
                    <w:adjustRightInd/>
                    <w:snapToGrid w:val="0"/>
                    <w:spacing w:line="360" w:lineRule="auto"/>
                    <w:ind w:firstLine="420"/>
                    <w:jc w:val="center"/>
                    <w:textAlignment w:val="auto"/>
                    <w:rPr>
                      <w:kern w:val="2"/>
                      <w:szCs w:val="21"/>
                    </w:rPr>
                  </w:pPr>
                </w:p>
              </w:tc>
              <w:tc>
                <w:tcPr>
                  <w:tcW w:w="1092" w:type="dxa"/>
                  <w:vAlign w:val="center"/>
                </w:tcPr>
                <w:p>
                  <w:pPr>
                    <w:adjustRightInd/>
                    <w:snapToGrid w:val="0"/>
                    <w:spacing w:line="240" w:lineRule="auto"/>
                    <w:jc w:val="center"/>
                    <w:textAlignment w:val="auto"/>
                    <w:rPr>
                      <w:kern w:val="2"/>
                      <w:szCs w:val="21"/>
                    </w:rPr>
                  </w:pPr>
                  <w:r>
                    <w:rPr>
                      <w:rFonts w:hint="eastAsia"/>
                      <w:kern w:val="2"/>
                      <w:szCs w:val="21"/>
                    </w:rPr>
                    <w:t>长</w:t>
                  </w:r>
                  <w:r>
                    <w:rPr>
                      <w:kern w:val="2"/>
                      <w:szCs w:val="21"/>
                    </w:rPr>
                    <w:t>度</w:t>
                  </w:r>
                  <w:r>
                    <w:rPr>
                      <w:rFonts w:hint="eastAsia"/>
                      <w:kern w:val="2"/>
                      <w:szCs w:val="21"/>
                    </w:rPr>
                    <w:t>（</w:t>
                  </w:r>
                  <w:r>
                    <w:rPr>
                      <w:kern w:val="2"/>
                      <w:szCs w:val="21"/>
                    </w:rPr>
                    <w:t>m</w:t>
                  </w:r>
                  <w:r>
                    <w:rPr>
                      <w:rFonts w:hint="eastAsia"/>
                      <w:kern w:val="2"/>
                      <w:szCs w:val="21"/>
                    </w:rPr>
                    <w:t>）</w:t>
                  </w:r>
                </w:p>
              </w:tc>
              <w:tc>
                <w:tcPr>
                  <w:tcW w:w="932" w:type="dxa"/>
                  <w:vAlign w:val="center"/>
                </w:tcPr>
                <w:p>
                  <w:pPr>
                    <w:adjustRightInd/>
                    <w:snapToGrid w:val="0"/>
                    <w:spacing w:line="240" w:lineRule="auto"/>
                    <w:jc w:val="center"/>
                    <w:textAlignment w:val="auto"/>
                    <w:rPr>
                      <w:kern w:val="2"/>
                      <w:szCs w:val="21"/>
                    </w:rPr>
                  </w:pPr>
                  <w:r>
                    <w:rPr>
                      <w:rFonts w:hint="eastAsia"/>
                      <w:kern w:val="2"/>
                      <w:szCs w:val="21"/>
                    </w:rPr>
                    <w:t>宽度（m</w:t>
                  </w:r>
                  <w:r>
                    <w:rPr>
                      <w:kern w:val="2"/>
                      <w:szCs w:val="21"/>
                    </w:rPr>
                    <w:t>)</w:t>
                  </w:r>
                </w:p>
              </w:tc>
              <w:tc>
                <w:tcPr>
                  <w:tcW w:w="1302" w:type="dxa"/>
                  <w:vAlign w:val="center"/>
                </w:tcPr>
                <w:p>
                  <w:pPr>
                    <w:adjustRightInd/>
                    <w:snapToGrid w:val="0"/>
                    <w:spacing w:line="240" w:lineRule="auto"/>
                    <w:jc w:val="center"/>
                    <w:textAlignment w:val="auto"/>
                    <w:rPr>
                      <w:kern w:val="2"/>
                      <w:szCs w:val="21"/>
                    </w:rPr>
                  </w:pPr>
                  <w:r>
                    <w:rPr>
                      <w:rFonts w:hint="eastAsia"/>
                      <w:kern w:val="2"/>
                      <w:szCs w:val="21"/>
                    </w:rPr>
                    <w:t>有效高度（m</w:t>
                  </w:r>
                  <w:r>
                    <w:rPr>
                      <w:kern w:val="2"/>
                      <w:szCs w:val="21"/>
                    </w:rPr>
                    <w:t>)</w:t>
                  </w:r>
                </w:p>
              </w:tc>
              <w:tc>
                <w:tcPr>
                  <w:tcW w:w="1078" w:type="dxa"/>
                  <w:vMerge w:val="continue"/>
                  <w:vAlign w:val="center"/>
                </w:tcPr>
                <w:p>
                  <w:pPr>
                    <w:adjustRightInd/>
                    <w:snapToGrid w:val="0"/>
                    <w:spacing w:line="360" w:lineRule="auto"/>
                    <w:ind w:firstLine="420"/>
                    <w:jc w:val="center"/>
                    <w:textAlignment w:val="auto"/>
                    <w:rPr>
                      <w:kern w:val="2"/>
                      <w:szCs w:val="21"/>
                    </w:rPr>
                  </w:pPr>
                </w:p>
              </w:tc>
              <w:tc>
                <w:tcPr>
                  <w:tcW w:w="1588" w:type="dxa"/>
                  <w:vMerge w:val="continue"/>
                  <w:vAlign w:val="center"/>
                </w:tcPr>
                <w:p>
                  <w:pPr>
                    <w:adjustRightInd/>
                    <w:snapToGrid w:val="0"/>
                    <w:spacing w:line="360" w:lineRule="auto"/>
                    <w:ind w:firstLine="420"/>
                    <w:jc w:val="center"/>
                    <w:textAlignment w:val="auto"/>
                    <w:rPr>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80" w:hRule="atLeast"/>
              </w:trPr>
              <w:tc>
                <w:tcPr>
                  <w:tcW w:w="906" w:type="dxa"/>
                  <w:vMerge w:val="restart"/>
                  <w:vAlign w:val="center"/>
                </w:tcPr>
                <w:p>
                  <w:pPr>
                    <w:adjustRightInd/>
                    <w:spacing w:line="360" w:lineRule="auto"/>
                    <w:jc w:val="center"/>
                    <w:textAlignment w:val="auto"/>
                    <w:rPr>
                      <w:kern w:val="2"/>
                      <w:szCs w:val="21"/>
                    </w:rPr>
                  </w:pPr>
                  <w:r>
                    <w:rPr>
                      <w:rFonts w:hint="eastAsia"/>
                      <w:kern w:val="2"/>
                      <w:szCs w:val="21"/>
                    </w:rPr>
                    <w:t>1</w:t>
                  </w:r>
                  <w:r>
                    <w:rPr>
                      <w:kern w:val="2"/>
                      <w:szCs w:val="21"/>
                    </w:rPr>
                    <w:t>20</w:t>
                  </w:r>
                  <w:r>
                    <w:rPr>
                      <w:rFonts w:hint="eastAsia"/>
                      <w:kern w:val="2"/>
                      <w:szCs w:val="21"/>
                    </w:rPr>
                    <w:t>t/d</w:t>
                  </w:r>
                </w:p>
              </w:tc>
              <w:tc>
                <w:tcPr>
                  <w:tcW w:w="1348" w:type="dxa"/>
                  <w:vMerge w:val="restart"/>
                  <w:vAlign w:val="center"/>
                </w:tcPr>
                <w:p>
                  <w:pPr>
                    <w:adjustRightInd/>
                    <w:spacing w:line="360" w:lineRule="auto"/>
                    <w:jc w:val="center"/>
                    <w:textAlignment w:val="auto"/>
                    <w:rPr>
                      <w:kern w:val="2"/>
                      <w:szCs w:val="21"/>
                    </w:rPr>
                  </w:pPr>
                  <w:r>
                    <w:rPr>
                      <w:rFonts w:hint="eastAsia"/>
                      <w:kern w:val="2"/>
                      <w:szCs w:val="21"/>
                    </w:rPr>
                    <w:t>生产车间</w:t>
                  </w:r>
                </w:p>
              </w:tc>
              <w:tc>
                <w:tcPr>
                  <w:tcW w:w="1092" w:type="dxa"/>
                  <w:vMerge w:val="restart"/>
                  <w:vAlign w:val="center"/>
                </w:tcPr>
                <w:p>
                  <w:pPr>
                    <w:adjustRightInd/>
                    <w:spacing w:line="360" w:lineRule="auto"/>
                    <w:jc w:val="center"/>
                    <w:textAlignment w:val="auto"/>
                    <w:rPr>
                      <w:kern w:val="2"/>
                      <w:szCs w:val="21"/>
                    </w:rPr>
                  </w:pPr>
                  <w:r>
                    <w:rPr>
                      <w:rFonts w:hint="eastAsia"/>
                      <w:kern w:val="2"/>
                      <w:szCs w:val="21"/>
                    </w:rPr>
                    <w:t>3</w:t>
                  </w:r>
                  <w:r>
                    <w:rPr>
                      <w:kern w:val="2"/>
                      <w:szCs w:val="21"/>
                    </w:rPr>
                    <w:t>7.3</w:t>
                  </w:r>
                </w:p>
              </w:tc>
              <w:tc>
                <w:tcPr>
                  <w:tcW w:w="932" w:type="dxa"/>
                  <w:vMerge w:val="restart"/>
                  <w:vAlign w:val="center"/>
                </w:tcPr>
                <w:p>
                  <w:pPr>
                    <w:adjustRightInd/>
                    <w:spacing w:line="360" w:lineRule="auto"/>
                    <w:jc w:val="center"/>
                    <w:textAlignment w:val="auto"/>
                    <w:rPr>
                      <w:kern w:val="2"/>
                      <w:szCs w:val="21"/>
                    </w:rPr>
                  </w:pPr>
                  <w:r>
                    <w:rPr>
                      <w:rFonts w:hint="eastAsia"/>
                      <w:kern w:val="2"/>
                      <w:szCs w:val="21"/>
                    </w:rPr>
                    <w:t>2</w:t>
                  </w:r>
                  <w:r>
                    <w:rPr>
                      <w:kern w:val="2"/>
                      <w:szCs w:val="21"/>
                    </w:rPr>
                    <w:t>5.4</w:t>
                  </w:r>
                </w:p>
              </w:tc>
              <w:tc>
                <w:tcPr>
                  <w:tcW w:w="1302" w:type="dxa"/>
                  <w:vMerge w:val="restart"/>
                  <w:vAlign w:val="center"/>
                </w:tcPr>
                <w:p>
                  <w:pPr>
                    <w:adjustRightInd/>
                    <w:spacing w:line="360" w:lineRule="auto"/>
                    <w:jc w:val="center"/>
                    <w:textAlignment w:val="auto"/>
                    <w:rPr>
                      <w:kern w:val="2"/>
                      <w:szCs w:val="21"/>
                    </w:rPr>
                  </w:pPr>
                  <w:r>
                    <w:rPr>
                      <w:rFonts w:hint="eastAsia"/>
                      <w:kern w:val="2"/>
                      <w:szCs w:val="21"/>
                    </w:rPr>
                    <w:t>9</w:t>
                  </w:r>
                </w:p>
              </w:tc>
              <w:tc>
                <w:tcPr>
                  <w:tcW w:w="1078" w:type="dxa"/>
                  <w:vAlign w:val="center"/>
                </w:tcPr>
                <w:p>
                  <w:pPr>
                    <w:adjustRightInd/>
                    <w:spacing w:line="360" w:lineRule="auto"/>
                    <w:jc w:val="center"/>
                    <w:textAlignment w:val="auto"/>
                    <w:rPr>
                      <w:kern w:val="2"/>
                      <w:szCs w:val="21"/>
                    </w:rPr>
                  </w:pPr>
                  <w:r>
                    <w:rPr>
                      <w:rFonts w:hint="eastAsia"/>
                      <w:kern w:val="2"/>
                      <w:szCs w:val="21"/>
                    </w:rPr>
                    <w:t>NH</w:t>
                  </w:r>
                  <w:r>
                    <w:rPr>
                      <w:rFonts w:hint="eastAsia"/>
                      <w:kern w:val="2"/>
                      <w:szCs w:val="21"/>
                      <w:vertAlign w:val="subscript"/>
                    </w:rPr>
                    <w:t>3</w:t>
                  </w:r>
                </w:p>
              </w:tc>
              <w:tc>
                <w:tcPr>
                  <w:tcW w:w="1588" w:type="dxa"/>
                  <w:vAlign w:val="center"/>
                </w:tcPr>
                <w:p>
                  <w:pPr>
                    <w:adjustRightInd/>
                    <w:spacing w:line="360" w:lineRule="auto"/>
                    <w:jc w:val="center"/>
                    <w:textAlignment w:val="auto"/>
                    <w:rPr>
                      <w:kern w:val="2"/>
                      <w:szCs w:val="21"/>
                    </w:rPr>
                  </w:pPr>
                  <w:r>
                    <w:rPr>
                      <w:kern w:val="2"/>
                      <w:szCs w:val="21"/>
                    </w:rPr>
                    <w:t>0.00022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80" w:hRule="atLeast"/>
              </w:trPr>
              <w:tc>
                <w:tcPr>
                  <w:tcW w:w="906" w:type="dxa"/>
                  <w:vMerge w:val="continue"/>
                  <w:vAlign w:val="center"/>
                </w:tcPr>
                <w:p>
                  <w:pPr>
                    <w:adjustRightInd/>
                    <w:spacing w:line="360" w:lineRule="auto"/>
                    <w:jc w:val="center"/>
                    <w:textAlignment w:val="auto"/>
                    <w:rPr>
                      <w:kern w:val="2"/>
                      <w:szCs w:val="21"/>
                    </w:rPr>
                  </w:pPr>
                </w:p>
              </w:tc>
              <w:tc>
                <w:tcPr>
                  <w:tcW w:w="1348" w:type="dxa"/>
                  <w:vMerge w:val="continue"/>
                  <w:vAlign w:val="center"/>
                </w:tcPr>
                <w:p>
                  <w:pPr>
                    <w:adjustRightInd/>
                    <w:spacing w:line="360" w:lineRule="auto"/>
                    <w:jc w:val="center"/>
                    <w:textAlignment w:val="auto"/>
                    <w:rPr>
                      <w:kern w:val="2"/>
                      <w:szCs w:val="21"/>
                    </w:rPr>
                  </w:pPr>
                </w:p>
              </w:tc>
              <w:tc>
                <w:tcPr>
                  <w:tcW w:w="1092" w:type="dxa"/>
                  <w:vMerge w:val="continue"/>
                  <w:vAlign w:val="center"/>
                </w:tcPr>
                <w:p>
                  <w:pPr>
                    <w:adjustRightInd/>
                    <w:spacing w:line="360" w:lineRule="auto"/>
                    <w:jc w:val="center"/>
                    <w:textAlignment w:val="auto"/>
                    <w:rPr>
                      <w:kern w:val="2"/>
                      <w:szCs w:val="21"/>
                    </w:rPr>
                  </w:pPr>
                </w:p>
              </w:tc>
              <w:tc>
                <w:tcPr>
                  <w:tcW w:w="932" w:type="dxa"/>
                  <w:vMerge w:val="continue"/>
                  <w:vAlign w:val="center"/>
                </w:tcPr>
                <w:p>
                  <w:pPr>
                    <w:adjustRightInd/>
                    <w:spacing w:line="360" w:lineRule="auto"/>
                    <w:jc w:val="center"/>
                    <w:textAlignment w:val="auto"/>
                    <w:rPr>
                      <w:kern w:val="2"/>
                      <w:szCs w:val="21"/>
                    </w:rPr>
                  </w:pPr>
                </w:p>
              </w:tc>
              <w:tc>
                <w:tcPr>
                  <w:tcW w:w="1302" w:type="dxa"/>
                  <w:vMerge w:val="continue"/>
                  <w:vAlign w:val="center"/>
                </w:tcPr>
                <w:p>
                  <w:pPr>
                    <w:adjustRightInd/>
                    <w:spacing w:line="360" w:lineRule="auto"/>
                    <w:jc w:val="center"/>
                    <w:textAlignment w:val="auto"/>
                    <w:rPr>
                      <w:kern w:val="2"/>
                      <w:szCs w:val="21"/>
                    </w:rPr>
                  </w:pPr>
                </w:p>
              </w:tc>
              <w:tc>
                <w:tcPr>
                  <w:tcW w:w="1078" w:type="dxa"/>
                  <w:vAlign w:val="center"/>
                </w:tcPr>
                <w:p>
                  <w:pPr>
                    <w:adjustRightInd/>
                    <w:spacing w:line="360" w:lineRule="auto"/>
                    <w:jc w:val="center"/>
                    <w:textAlignment w:val="auto"/>
                    <w:rPr>
                      <w:kern w:val="2"/>
                      <w:szCs w:val="21"/>
                    </w:rPr>
                  </w:pPr>
                  <w:r>
                    <w:rPr>
                      <w:rFonts w:hint="eastAsia"/>
                      <w:kern w:val="2"/>
                      <w:szCs w:val="21"/>
                    </w:rPr>
                    <w:t>H</w:t>
                  </w:r>
                  <w:r>
                    <w:rPr>
                      <w:rFonts w:hint="eastAsia"/>
                      <w:kern w:val="2"/>
                      <w:szCs w:val="21"/>
                      <w:vertAlign w:val="subscript"/>
                    </w:rPr>
                    <w:t>2</w:t>
                  </w:r>
                  <w:r>
                    <w:rPr>
                      <w:rFonts w:hint="eastAsia"/>
                      <w:kern w:val="2"/>
                      <w:szCs w:val="21"/>
                    </w:rPr>
                    <w:t>S</w:t>
                  </w:r>
                </w:p>
              </w:tc>
              <w:tc>
                <w:tcPr>
                  <w:tcW w:w="1588" w:type="dxa"/>
                  <w:vAlign w:val="center"/>
                </w:tcPr>
                <w:p>
                  <w:pPr>
                    <w:adjustRightInd/>
                    <w:spacing w:line="360" w:lineRule="auto"/>
                    <w:jc w:val="center"/>
                    <w:textAlignment w:val="auto"/>
                    <w:rPr>
                      <w:kern w:val="2"/>
                      <w:szCs w:val="21"/>
                    </w:rPr>
                  </w:pPr>
                  <w:r>
                    <w:rPr>
                      <w:rFonts w:hint="eastAsia"/>
                      <w:kern w:val="2"/>
                      <w:szCs w:val="21"/>
                    </w:rPr>
                    <w:t>0</w:t>
                  </w:r>
                  <w:r>
                    <w:rPr>
                      <w:kern w:val="2"/>
                      <w:szCs w:val="21"/>
                    </w:rPr>
                    <w:t>.000023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80" w:hRule="atLeast"/>
              </w:trPr>
              <w:tc>
                <w:tcPr>
                  <w:tcW w:w="906" w:type="dxa"/>
                  <w:vMerge w:val="restart"/>
                  <w:vAlign w:val="center"/>
                </w:tcPr>
                <w:p>
                  <w:pPr>
                    <w:adjustRightInd/>
                    <w:spacing w:line="360" w:lineRule="auto"/>
                    <w:jc w:val="center"/>
                    <w:textAlignment w:val="auto"/>
                    <w:rPr>
                      <w:kern w:val="2"/>
                      <w:szCs w:val="21"/>
                    </w:rPr>
                  </w:pPr>
                  <w:r>
                    <w:rPr>
                      <w:rFonts w:hint="eastAsia"/>
                      <w:kern w:val="2"/>
                      <w:szCs w:val="21"/>
                    </w:rPr>
                    <w:t>2</w:t>
                  </w:r>
                  <w:r>
                    <w:rPr>
                      <w:kern w:val="2"/>
                      <w:szCs w:val="21"/>
                    </w:rPr>
                    <w:t>0</w:t>
                  </w:r>
                  <w:r>
                    <w:rPr>
                      <w:rFonts w:hint="eastAsia"/>
                      <w:kern w:val="2"/>
                      <w:szCs w:val="21"/>
                    </w:rPr>
                    <w:t>t/d</w:t>
                  </w:r>
                </w:p>
              </w:tc>
              <w:tc>
                <w:tcPr>
                  <w:tcW w:w="1348" w:type="dxa"/>
                  <w:vMerge w:val="restart"/>
                  <w:vAlign w:val="center"/>
                </w:tcPr>
                <w:p>
                  <w:pPr>
                    <w:adjustRightInd/>
                    <w:spacing w:line="360" w:lineRule="auto"/>
                    <w:jc w:val="center"/>
                    <w:textAlignment w:val="auto"/>
                    <w:rPr>
                      <w:kern w:val="2"/>
                      <w:szCs w:val="21"/>
                    </w:rPr>
                  </w:pPr>
                  <w:r>
                    <w:rPr>
                      <w:rFonts w:hint="eastAsia"/>
                      <w:kern w:val="2"/>
                      <w:szCs w:val="21"/>
                    </w:rPr>
                    <w:t>生产车间</w:t>
                  </w:r>
                </w:p>
              </w:tc>
              <w:tc>
                <w:tcPr>
                  <w:tcW w:w="1092" w:type="dxa"/>
                  <w:vMerge w:val="restart"/>
                  <w:vAlign w:val="center"/>
                </w:tcPr>
                <w:p>
                  <w:pPr>
                    <w:adjustRightInd/>
                    <w:spacing w:line="360" w:lineRule="auto"/>
                    <w:jc w:val="center"/>
                    <w:textAlignment w:val="auto"/>
                    <w:rPr>
                      <w:kern w:val="2"/>
                      <w:szCs w:val="21"/>
                    </w:rPr>
                  </w:pPr>
                  <w:r>
                    <w:rPr>
                      <w:rFonts w:hint="eastAsia"/>
                      <w:kern w:val="2"/>
                      <w:szCs w:val="21"/>
                    </w:rPr>
                    <w:t>1</w:t>
                  </w:r>
                  <w:r>
                    <w:rPr>
                      <w:kern w:val="2"/>
                      <w:szCs w:val="21"/>
                    </w:rPr>
                    <w:t>0</w:t>
                  </w:r>
                </w:p>
              </w:tc>
              <w:tc>
                <w:tcPr>
                  <w:tcW w:w="932" w:type="dxa"/>
                  <w:vMerge w:val="restart"/>
                  <w:vAlign w:val="center"/>
                </w:tcPr>
                <w:p>
                  <w:pPr>
                    <w:adjustRightInd/>
                    <w:spacing w:line="360" w:lineRule="auto"/>
                    <w:jc w:val="center"/>
                    <w:textAlignment w:val="auto"/>
                    <w:rPr>
                      <w:kern w:val="2"/>
                      <w:szCs w:val="21"/>
                    </w:rPr>
                  </w:pPr>
                  <w:r>
                    <w:rPr>
                      <w:rFonts w:hint="eastAsia"/>
                      <w:kern w:val="2"/>
                      <w:szCs w:val="21"/>
                    </w:rPr>
                    <w:t>1</w:t>
                  </w:r>
                  <w:r>
                    <w:rPr>
                      <w:kern w:val="2"/>
                      <w:szCs w:val="21"/>
                    </w:rPr>
                    <w:t>1</w:t>
                  </w:r>
                </w:p>
              </w:tc>
              <w:tc>
                <w:tcPr>
                  <w:tcW w:w="1302" w:type="dxa"/>
                  <w:vMerge w:val="restart"/>
                  <w:vAlign w:val="center"/>
                </w:tcPr>
                <w:p>
                  <w:pPr>
                    <w:adjustRightInd/>
                    <w:spacing w:line="360" w:lineRule="auto"/>
                    <w:jc w:val="center"/>
                    <w:textAlignment w:val="auto"/>
                    <w:rPr>
                      <w:kern w:val="2"/>
                      <w:szCs w:val="21"/>
                    </w:rPr>
                  </w:pPr>
                  <w:r>
                    <w:rPr>
                      <w:rFonts w:hint="eastAsia"/>
                      <w:kern w:val="2"/>
                      <w:szCs w:val="21"/>
                    </w:rPr>
                    <w:t>6</w:t>
                  </w:r>
                </w:p>
              </w:tc>
              <w:tc>
                <w:tcPr>
                  <w:tcW w:w="1078" w:type="dxa"/>
                  <w:vAlign w:val="center"/>
                </w:tcPr>
                <w:p>
                  <w:pPr>
                    <w:adjustRightInd/>
                    <w:spacing w:line="360" w:lineRule="auto"/>
                    <w:jc w:val="center"/>
                    <w:textAlignment w:val="auto"/>
                    <w:rPr>
                      <w:kern w:val="2"/>
                      <w:szCs w:val="21"/>
                    </w:rPr>
                  </w:pPr>
                  <w:r>
                    <w:rPr>
                      <w:rFonts w:hint="eastAsia"/>
                      <w:kern w:val="2"/>
                      <w:szCs w:val="21"/>
                    </w:rPr>
                    <w:t>NH</w:t>
                  </w:r>
                  <w:r>
                    <w:rPr>
                      <w:rFonts w:hint="eastAsia"/>
                      <w:kern w:val="2"/>
                      <w:szCs w:val="21"/>
                      <w:vertAlign w:val="subscript"/>
                    </w:rPr>
                    <w:t>3</w:t>
                  </w:r>
                </w:p>
              </w:tc>
              <w:tc>
                <w:tcPr>
                  <w:tcW w:w="1588" w:type="dxa"/>
                  <w:vAlign w:val="center"/>
                </w:tcPr>
                <w:p>
                  <w:pPr>
                    <w:adjustRightInd/>
                    <w:spacing w:line="360" w:lineRule="auto"/>
                    <w:jc w:val="center"/>
                    <w:textAlignment w:val="auto"/>
                    <w:rPr>
                      <w:kern w:val="2"/>
                      <w:szCs w:val="21"/>
                    </w:rPr>
                  </w:pPr>
                  <w:r>
                    <w:rPr>
                      <w:rFonts w:hint="eastAsia"/>
                      <w:kern w:val="2"/>
                      <w:szCs w:val="21"/>
                    </w:rPr>
                    <w:t>0</w:t>
                  </w:r>
                  <w:r>
                    <w:rPr>
                      <w:kern w:val="2"/>
                      <w:szCs w:val="21"/>
                    </w:rPr>
                    <w:t>.00004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80" w:hRule="atLeast"/>
              </w:trPr>
              <w:tc>
                <w:tcPr>
                  <w:tcW w:w="906" w:type="dxa"/>
                  <w:vMerge w:val="continue"/>
                  <w:vAlign w:val="center"/>
                </w:tcPr>
                <w:p>
                  <w:pPr>
                    <w:adjustRightInd/>
                    <w:spacing w:line="360" w:lineRule="auto"/>
                    <w:jc w:val="center"/>
                    <w:textAlignment w:val="auto"/>
                    <w:rPr>
                      <w:kern w:val="2"/>
                      <w:szCs w:val="21"/>
                    </w:rPr>
                  </w:pPr>
                </w:p>
              </w:tc>
              <w:tc>
                <w:tcPr>
                  <w:tcW w:w="1348" w:type="dxa"/>
                  <w:vMerge w:val="continue"/>
                  <w:vAlign w:val="center"/>
                </w:tcPr>
                <w:p>
                  <w:pPr>
                    <w:adjustRightInd/>
                    <w:spacing w:line="360" w:lineRule="auto"/>
                    <w:jc w:val="center"/>
                    <w:textAlignment w:val="auto"/>
                    <w:rPr>
                      <w:kern w:val="2"/>
                      <w:szCs w:val="21"/>
                    </w:rPr>
                  </w:pPr>
                </w:p>
              </w:tc>
              <w:tc>
                <w:tcPr>
                  <w:tcW w:w="1092" w:type="dxa"/>
                  <w:vMerge w:val="continue"/>
                  <w:vAlign w:val="center"/>
                </w:tcPr>
                <w:p>
                  <w:pPr>
                    <w:adjustRightInd/>
                    <w:spacing w:line="360" w:lineRule="auto"/>
                    <w:jc w:val="center"/>
                    <w:textAlignment w:val="auto"/>
                    <w:rPr>
                      <w:kern w:val="2"/>
                      <w:szCs w:val="21"/>
                    </w:rPr>
                  </w:pPr>
                </w:p>
              </w:tc>
              <w:tc>
                <w:tcPr>
                  <w:tcW w:w="932" w:type="dxa"/>
                  <w:vMerge w:val="continue"/>
                  <w:vAlign w:val="center"/>
                </w:tcPr>
                <w:p>
                  <w:pPr>
                    <w:adjustRightInd/>
                    <w:spacing w:line="360" w:lineRule="auto"/>
                    <w:jc w:val="center"/>
                    <w:textAlignment w:val="auto"/>
                    <w:rPr>
                      <w:kern w:val="2"/>
                      <w:szCs w:val="21"/>
                    </w:rPr>
                  </w:pPr>
                </w:p>
              </w:tc>
              <w:tc>
                <w:tcPr>
                  <w:tcW w:w="1302" w:type="dxa"/>
                  <w:vMerge w:val="continue"/>
                  <w:vAlign w:val="center"/>
                </w:tcPr>
                <w:p>
                  <w:pPr>
                    <w:adjustRightInd/>
                    <w:spacing w:line="360" w:lineRule="auto"/>
                    <w:jc w:val="center"/>
                    <w:textAlignment w:val="auto"/>
                    <w:rPr>
                      <w:kern w:val="2"/>
                      <w:szCs w:val="21"/>
                    </w:rPr>
                  </w:pPr>
                </w:p>
              </w:tc>
              <w:tc>
                <w:tcPr>
                  <w:tcW w:w="1078" w:type="dxa"/>
                  <w:vAlign w:val="center"/>
                </w:tcPr>
                <w:p>
                  <w:pPr>
                    <w:adjustRightInd/>
                    <w:spacing w:line="360" w:lineRule="auto"/>
                    <w:jc w:val="center"/>
                    <w:textAlignment w:val="auto"/>
                    <w:rPr>
                      <w:kern w:val="2"/>
                      <w:szCs w:val="21"/>
                    </w:rPr>
                  </w:pPr>
                  <w:r>
                    <w:rPr>
                      <w:rFonts w:hint="eastAsia"/>
                      <w:kern w:val="2"/>
                      <w:szCs w:val="21"/>
                    </w:rPr>
                    <w:t>H</w:t>
                  </w:r>
                  <w:r>
                    <w:rPr>
                      <w:rFonts w:hint="eastAsia"/>
                      <w:kern w:val="2"/>
                      <w:szCs w:val="21"/>
                      <w:vertAlign w:val="subscript"/>
                    </w:rPr>
                    <w:t>2</w:t>
                  </w:r>
                  <w:r>
                    <w:rPr>
                      <w:rFonts w:hint="eastAsia"/>
                      <w:kern w:val="2"/>
                      <w:szCs w:val="21"/>
                    </w:rPr>
                    <w:t>S</w:t>
                  </w:r>
                </w:p>
              </w:tc>
              <w:tc>
                <w:tcPr>
                  <w:tcW w:w="1588" w:type="dxa"/>
                  <w:vAlign w:val="center"/>
                </w:tcPr>
                <w:p>
                  <w:pPr>
                    <w:adjustRightInd/>
                    <w:spacing w:line="360" w:lineRule="auto"/>
                    <w:jc w:val="center"/>
                    <w:textAlignment w:val="auto"/>
                    <w:rPr>
                      <w:kern w:val="2"/>
                      <w:szCs w:val="21"/>
                    </w:rPr>
                  </w:pPr>
                  <w:r>
                    <w:rPr>
                      <w:rFonts w:hint="eastAsia"/>
                      <w:kern w:val="2"/>
                      <w:szCs w:val="21"/>
                    </w:rPr>
                    <w:t>0</w:t>
                  </w:r>
                  <w:r>
                    <w:rPr>
                      <w:kern w:val="2"/>
                      <w:szCs w:val="21"/>
                    </w:rPr>
                    <w:t>.0000046</w:t>
                  </w:r>
                </w:p>
              </w:tc>
            </w:tr>
          </w:tbl>
          <w:p>
            <w:pPr>
              <w:spacing w:line="360" w:lineRule="auto"/>
              <w:jc w:val="center"/>
              <w:rPr>
                <w:sz w:val="24"/>
                <w:szCs w:val="24"/>
              </w:rPr>
            </w:pPr>
            <w:r>
              <w:rPr>
                <w:sz w:val="24"/>
                <w:szCs w:val="24"/>
              </w:rPr>
              <w:t>表</w:t>
            </w:r>
            <w:r>
              <w:rPr>
                <w:rFonts w:hint="eastAsia"/>
                <w:sz w:val="24"/>
                <w:szCs w:val="24"/>
              </w:rPr>
              <w:t>2</w:t>
            </w:r>
            <w:r>
              <w:rPr>
                <w:sz w:val="24"/>
                <w:szCs w:val="24"/>
              </w:rPr>
              <w:t>8 估算模型参数表</w:t>
            </w:r>
          </w:p>
          <w:tbl>
            <w:tblPr>
              <w:tblStyle w:val="28"/>
              <w:tblW w:w="82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8"/>
              <w:gridCol w:w="2269"/>
              <w:gridCol w:w="4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9" w:hRule="atLeast"/>
                <w:jc w:val="center"/>
              </w:trPr>
              <w:tc>
                <w:tcPr>
                  <w:tcW w:w="4197" w:type="dxa"/>
                  <w:gridSpan w:val="2"/>
                  <w:vAlign w:val="center"/>
                </w:tcPr>
                <w:p>
                  <w:pPr>
                    <w:adjustRightInd/>
                    <w:spacing w:line="360" w:lineRule="auto"/>
                    <w:ind w:firstLine="420"/>
                    <w:jc w:val="center"/>
                    <w:textAlignment w:val="auto"/>
                    <w:rPr>
                      <w:kern w:val="2"/>
                      <w:szCs w:val="21"/>
                    </w:rPr>
                  </w:pPr>
                  <w:r>
                    <w:rPr>
                      <w:kern w:val="2"/>
                      <w:szCs w:val="21"/>
                    </w:rPr>
                    <w:t>参数</w:t>
                  </w:r>
                </w:p>
              </w:tc>
              <w:tc>
                <w:tcPr>
                  <w:tcW w:w="4049" w:type="dxa"/>
                  <w:vAlign w:val="center"/>
                </w:tcPr>
                <w:p>
                  <w:pPr>
                    <w:adjustRightInd/>
                    <w:spacing w:line="360" w:lineRule="auto"/>
                    <w:ind w:firstLine="420"/>
                    <w:jc w:val="center"/>
                    <w:textAlignment w:val="auto"/>
                    <w:rPr>
                      <w:kern w:val="2"/>
                      <w:szCs w:val="21"/>
                    </w:rPr>
                  </w:pPr>
                  <w:r>
                    <w:rPr>
                      <w:kern w:val="2"/>
                      <w:szCs w:val="21"/>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28" w:type="dxa"/>
                  <w:vAlign w:val="center"/>
                </w:tcPr>
                <w:p>
                  <w:pPr>
                    <w:adjustRightInd/>
                    <w:spacing w:line="360" w:lineRule="auto"/>
                    <w:textAlignment w:val="auto"/>
                    <w:rPr>
                      <w:kern w:val="2"/>
                      <w:szCs w:val="21"/>
                    </w:rPr>
                  </w:pPr>
                  <w:r>
                    <w:rPr>
                      <w:kern w:val="2"/>
                      <w:szCs w:val="21"/>
                    </w:rPr>
                    <w:t>城市农村/选项</w:t>
                  </w:r>
                </w:p>
              </w:tc>
              <w:tc>
                <w:tcPr>
                  <w:tcW w:w="2269" w:type="dxa"/>
                  <w:vAlign w:val="center"/>
                </w:tcPr>
                <w:p>
                  <w:pPr>
                    <w:adjustRightInd/>
                    <w:spacing w:line="360" w:lineRule="auto"/>
                    <w:ind w:firstLine="420"/>
                    <w:jc w:val="center"/>
                    <w:textAlignment w:val="auto"/>
                    <w:rPr>
                      <w:kern w:val="2"/>
                      <w:szCs w:val="21"/>
                    </w:rPr>
                  </w:pPr>
                  <w:r>
                    <w:rPr>
                      <w:kern w:val="2"/>
                      <w:szCs w:val="21"/>
                    </w:rPr>
                    <w:t>城市/农村</w:t>
                  </w:r>
                </w:p>
              </w:tc>
              <w:tc>
                <w:tcPr>
                  <w:tcW w:w="4049" w:type="dxa"/>
                  <w:vAlign w:val="center"/>
                </w:tcPr>
                <w:p>
                  <w:pPr>
                    <w:adjustRightInd/>
                    <w:spacing w:line="360" w:lineRule="auto"/>
                    <w:ind w:firstLine="420"/>
                    <w:jc w:val="center"/>
                    <w:textAlignment w:val="auto"/>
                    <w:rPr>
                      <w:kern w:val="2"/>
                      <w:szCs w:val="21"/>
                    </w:rPr>
                  </w:pPr>
                  <w:r>
                    <w:rPr>
                      <w:rFonts w:hint="eastAsia"/>
                      <w:kern w:val="2"/>
                      <w:szCs w:val="21"/>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4197" w:type="dxa"/>
                  <w:gridSpan w:val="2"/>
                  <w:vAlign w:val="center"/>
                </w:tcPr>
                <w:p>
                  <w:pPr>
                    <w:adjustRightInd/>
                    <w:spacing w:line="360" w:lineRule="auto"/>
                    <w:ind w:firstLine="420"/>
                    <w:jc w:val="center"/>
                    <w:textAlignment w:val="auto"/>
                    <w:rPr>
                      <w:kern w:val="2"/>
                      <w:szCs w:val="21"/>
                    </w:rPr>
                  </w:pPr>
                  <w:r>
                    <w:rPr>
                      <w:kern w:val="2"/>
                      <w:szCs w:val="21"/>
                    </w:rPr>
                    <w:t>最高环境温度</w:t>
                  </w:r>
                </w:p>
              </w:tc>
              <w:tc>
                <w:tcPr>
                  <w:tcW w:w="4049" w:type="dxa"/>
                  <w:vAlign w:val="center"/>
                </w:tcPr>
                <w:p>
                  <w:pPr>
                    <w:adjustRightInd/>
                    <w:spacing w:line="360" w:lineRule="auto"/>
                    <w:ind w:firstLine="420"/>
                    <w:jc w:val="center"/>
                    <w:textAlignment w:val="auto"/>
                    <w:rPr>
                      <w:kern w:val="2"/>
                      <w:szCs w:val="21"/>
                    </w:rPr>
                  </w:pPr>
                  <w:r>
                    <w:rPr>
                      <w:kern w:val="2"/>
                      <w:szCs w:val="21"/>
                    </w:rPr>
                    <w:t>38 °C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197" w:type="dxa"/>
                  <w:gridSpan w:val="2"/>
                  <w:vAlign w:val="center"/>
                </w:tcPr>
                <w:p>
                  <w:pPr>
                    <w:adjustRightInd/>
                    <w:spacing w:line="360" w:lineRule="auto"/>
                    <w:ind w:firstLine="420"/>
                    <w:jc w:val="center"/>
                    <w:textAlignment w:val="auto"/>
                    <w:rPr>
                      <w:kern w:val="2"/>
                      <w:szCs w:val="21"/>
                    </w:rPr>
                  </w:pPr>
                  <w:r>
                    <w:rPr>
                      <w:kern w:val="2"/>
                      <w:szCs w:val="21"/>
                    </w:rPr>
                    <w:t>最低环境温度</w:t>
                  </w:r>
                </w:p>
              </w:tc>
              <w:tc>
                <w:tcPr>
                  <w:tcW w:w="4049" w:type="dxa"/>
                  <w:vAlign w:val="center"/>
                </w:tcPr>
                <w:p>
                  <w:pPr>
                    <w:adjustRightInd/>
                    <w:spacing w:line="360" w:lineRule="auto"/>
                    <w:ind w:firstLine="420"/>
                    <w:jc w:val="center"/>
                    <w:textAlignment w:val="auto"/>
                    <w:rPr>
                      <w:kern w:val="2"/>
                      <w:szCs w:val="21"/>
                    </w:rPr>
                  </w:pPr>
                  <w:r>
                    <w:rPr>
                      <w:kern w:val="2"/>
                      <w:szCs w:val="21"/>
                    </w:rPr>
                    <w:t>-20 °C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197" w:type="dxa"/>
                  <w:gridSpan w:val="2"/>
                  <w:vAlign w:val="center"/>
                </w:tcPr>
                <w:p>
                  <w:pPr>
                    <w:adjustRightInd/>
                    <w:spacing w:line="360" w:lineRule="auto"/>
                    <w:ind w:firstLine="420"/>
                    <w:jc w:val="center"/>
                    <w:textAlignment w:val="auto"/>
                    <w:rPr>
                      <w:kern w:val="2"/>
                      <w:szCs w:val="21"/>
                    </w:rPr>
                  </w:pPr>
                  <w:r>
                    <w:rPr>
                      <w:kern w:val="2"/>
                      <w:szCs w:val="21"/>
                    </w:rPr>
                    <w:t>土地利用类型</w:t>
                  </w:r>
                </w:p>
              </w:tc>
              <w:tc>
                <w:tcPr>
                  <w:tcW w:w="4049" w:type="dxa"/>
                  <w:vAlign w:val="center"/>
                </w:tcPr>
                <w:p>
                  <w:pPr>
                    <w:adjustRightInd/>
                    <w:spacing w:line="360" w:lineRule="auto"/>
                    <w:ind w:firstLine="420"/>
                    <w:jc w:val="center"/>
                    <w:textAlignment w:val="auto"/>
                    <w:rPr>
                      <w:kern w:val="2"/>
                      <w:szCs w:val="21"/>
                    </w:rPr>
                  </w:pPr>
                  <w:r>
                    <w:rPr>
                      <w:rFonts w:hint="eastAsia"/>
                      <w:kern w:val="2"/>
                      <w:szCs w:val="21"/>
                    </w:rPr>
                    <w:t>农田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4197" w:type="dxa"/>
                  <w:gridSpan w:val="2"/>
                  <w:vAlign w:val="center"/>
                </w:tcPr>
                <w:p>
                  <w:pPr>
                    <w:adjustRightInd/>
                    <w:spacing w:line="360" w:lineRule="auto"/>
                    <w:ind w:firstLine="420"/>
                    <w:jc w:val="center"/>
                    <w:textAlignment w:val="auto"/>
                    <w:rPr>
                      <w:kern w:val="2"/>
                      <w:szCs w:val="21"/>
                    </w:rPr>
                  </w:pPr>
                  <w:r>
                    <w:rPr>
                      <w:kern w:val="2"/>
                      <w:szCs w:val="21"/>
                    </w:rPr>
                    <w:t>区域湿度条件</w:t>
                  </w:r>
                </w:p>
              </w:tc>
              <w:tc>
                <w:tcPr>
                  <w:tcW w:w="4049" w:type="dxa"/>
                  <w:vAlign w:val="center"/>
                </w:tcPr>
                <w:p>
                  <w:pPr>
                    <w:adjustRightInd/>
                    <w:spacing w:line="360" w:lineRule="auto"/>
                    <w:ind w:firstLine="420"/>
                    <w:jc w:val="center"/>
                    <w:textAlignment w:val="auto"/>
                    <w:rPr>
                      <w:kern w:val="2"/>
                      <w:szCs w:val="21"/>
                    </w:rPr>
                  </w:pPr>
                  <w:r>
                    <w:rPr>
                      <w:rFonts w:hint="eastAsia"/>
                      <w:kern w:val="2"/>
                      <w:szCs w:val="21"/>
                    </w:rPr>
                    <w:t>中等湿度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928" w:type="dxa"/>
                  <w:vMerge w:val="restart"/>
                  <w:vAlign w:val="center"/>
                </w:tcPr>
                <w:p>
                  <w:pPr>
                    <w:adjustRightInd/>
                    <w:spacing w:line="360" w:lineRule="auto"/>
                    <w:textAlignment w:val="auto"/>
                    <w:rPr>
                      <w:kern w:val="2"/>
                      <w:szCs w:val="21"/>
                    </w:rPr>
                  </w:pPr>
                  <w:r>
                    <w:rPr>
                      <w:kern w:val="2"/>
                      <w:szCs w:val="21"/>
                    </w:rPr>
                    <w:t>是否考虑地形</w:t>
                  </w:r>
                </w:p>
              </w:tc>
              <w:tc>
                <w:tcPr>
                  <w:tcW w:w="2269" w:type="dxa"/>
                  <w:vAlign w:val="center"/>
                </w:tcPr>
                <w:p>
                  <w:pPr>
                    <w:adjustRightInd/>
                    <w:spacing w:line="360" w:lineRule="auto"/>
                    <w:ind w:firstLine="420"/>
                    <w:textAlignment w:val="auto"/>
                    <w:rPr>
                      <w:kern w:val="2"/>
                      <w:szCs w:val="21"/>
                    </w:rPr>
                  </w:pPr>
                  <w:r>
                    <w:rPr>
                      <w:kern w:val="2"/>
                      <w:szCs w:val="21"/>
                    </w:rPr>
                    <w:t>考虑地形</w:t>
                  </w:r>
                </w:p>
              </w:tc>
              <w:tc>
                <w:tcPr>
                  <w:tcW w:w="4049" w:type="dxa"/>
                  <w:vAlign w:val="center"/>
                </w:tcPr>
                <w:p>
                  <w:pPr>
                    <w:adjustRightInd/>
                    <w:spacing w:line="360" w:lineRule="auto"/>
                    <w:ind w:firstLine="420"/>
                    <w:jc w:val="center"/>
                    <w:textAlignment w:val="auto"/>
                    <w:rPr>
                      <w:kern w:val="2"/>
                      <w:szCs w:val="21"/>
                    </w:rPr>
                  </w:pPr>
                  <w:r>
                    <w:rPr>
                      <w:rFonts w:hint="eastAsia"/>
                      <w:kern w:val="2"/>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928" w:type="dxa"/>
                  <w:vMerge w:val="continue"/>
                  <w:vAlign w:val="center"/>
                </w:tcPr>
                <w:p>
                  <w:pPr>
                    <w:adjustRightInd/>
                    <w:spacing w:line="360" w:lineRule="auto"/>
                    <w:ind w:firstLine="420"/>
                    <w:jc w:val="center"/>
                    <w:textAlignment w:val="auto"/>
                    <w:rPr>
                      <w:kern w:val="2"/>
                      <w:szCs w:val="21"/>
                    </w:rPr>
                  </w:pPr>
                </w:p>
              </w:tc>
              <w:tc>
                <w:tcPr>
                  <w:tcW w:w="2269" w:type="dxa"/>
                  <w:vAlign w:val="center"/>
                </w:tcPr>
                <w:p>
                  <w:pPr>
                    <w:adjustRightInd/>
                    <w:spacing w:line="360" w:lineRule="auto"/>
                    <w:textAlignment w:val="auto"/>
                    <w:rPr>
                      <w:kern w:val="2"/>
                      <w:szCs w:val="21"/>
                    </w:rPr>
                  </w:pPr>
                  <w:r>
                    <w:rPr>
                      <w:kern w:val="2"/>
                      <w:szCs w:val="21"/>
                    </w:rPr>
                    <w:t>地形数据分辨率(m)</w:t>
                  </w:r>
                </w:p>
              </w:tc>
              <w:tc>
                <w:tcPr>
                  <w:tcW w:w="4049" w:type="dxa"/>
                  <w:vAlign w:val="center"/>
                </w:tcPr>
                <w:p>
                  <w:pPr>
                    <w:adjustRightInd/>
                    <w:spacing w:line="360" w:lineRule="auto"/>
                    <w:ind w:firstLine="420"/>
                    <w:jc w:val="center"/>
                    <w:textAlignment w:val="auto"/>
                    <w:rPr>
                      <w:kern w:val="2"/>
                      <w:szCs w:val="21"/>
                    </w:rPr>
                  </w:pPr>
                  <w:r>
                    <w:rPr>
                      <w:kern w:val="2"/>
                      <w:szCs w:val="21"/>
                    </w:rPr>
                    <w:t>90×90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928" w:type="dxa"/>
                  <w:vMerge w:val="restart"/>
                  <w:vAlign w:val="center"/>
                </w:tcPr>
                <w:p>
                  <w:pPr>
                    <w:adjustRightInd/>
                    <w:spacing w:line="360" w:lineRule="auto"/>
                    <w:textAlignment w:val="auto"/>
                    <w:rPr>
                      <w:kern w:val="2"/>
                      <w:szCs w:val="21"/>
                    </w:rPr>
                  </w:pPr>
                  <w:r>
                    <w:rPr>
                      <w:kern w:val="2"/>
                      <w:szCs w:val="21"/>
                    </w:rPr>
                    <w:t>是否考虑海岸线熏烟</w:t>
                  </w:r>
                </w:p>
              </w:tc>
              <w:tc>
                <w:tcPr>
                  <w:tcW w:w="2269" w:type="dxa"/>
                  <w:vAlign w:val="center"/>
                </w:tcPr>
                <w:p>
                  <w:pPr>
                    <w:adjustRightInd/>
                    <w:spacing w:line="360" w:lineRule="auto"/>
                    <w:textAlignment w:val="auto"/>
                    <w:rPr>
                      <w:kern w:val="2"/>
                      <w:szCs w:val="21"/>
                    </w:rPr>
                  </w:pPr>
                  <w:r>
                    <w:rPr>
                      <w:kern w:val="2"/>
                      <w:szCs w:val="21"/>
                    </w:rPr>
                    <w:t>考虑海岸线熏烟</w:t>
                  </w:r>
                </w:p>
              </w:tc>
              <w:tc>
                <w:tcPr>
                  <w:tcW w:w="4049" w:type="dxa"/>
                  <w:vAlign w:val="center"/>
                </w:tcPr>
                <w:p>
                  <w:pPr>
                    <w:adjustRightInd/>
                    <w:spacing w:line="360" w:lineRule="auto"/>
                    <w:ind w:firstLine="420"/>
                    <w:jc w:val="center"/>
                    <w:textAlignment w:val="auto"/>
                    <w:rPr>
                      <w:kern w:val="2"/>
                      <w:szCs w:val="21"/>
                    </w:rPr>
                  </w:pPr>
                  <w:r>
                    <w:rPr>
                      <w:kern w:val="2"/>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928" w:type="dxa"/>
                  <w:vMerge w:val="continue"/>
                  <w:vAlign w:val="center"/>
                </w:tcPr>
                <w:p>
                  <w:pPr>
                    <w:adjustRightInd/>
                    <w:spacing w:line="360" w:lineRule="auto"/>
                    <w:ind w:firstLine="420"/>
                    <w:jc w:val="center"/>
                    <w:textAlignment w:val="auto"/>
                    <w:rPr>
                      <w:kern w:val="2"/>
                      <w:szCs w:val="21"/>
                    </w:rPr>
                  </w:pPr>
                </w:p>
              </w:tc>
              <w:tc>
                <w:tcPr>
                  <w:tcW w:w="2269" w:type="dxa"/>
                  <w:vAlign w:val="center"/>
                </w:tcPr>
                <w:p>
                  <w:pPr>
                    <w:adjustRightInd/>
                    <w:spacing w:line="360" w:lineRule="auto"/>
                    <w:textAlignment w:val="auto"/>
                    <w:rPr>
                      <w:kern w:val="2"/>
                      <w:szCs w:val="21"/>
                    </w:rPr>
                  </w:pPr>
                  <w:r>
                    <w:rPr>
                      <w:kern w:val="2"/>
                      <w:szCs w:val="21"/>
                    </w:rPr>
                    <w:t>海岸线距离/km</w:t>
                  </w:r>
                </w:p>
              </w:tc>
              <w:tc>
                <w:tcPr>
                  <w:tcW w:w="4049" w:type="dxa"/>
                  <w:vAlign w:val="center"/>
                </w:tcPr>
                <w:p>
                  <w:pPr>
                    <w:adjustRightInd/>
                    <w:spacing w:line="360" w:lineRule="auto"/>
                    <w:ind w:firstLine="420"/>
                    <w:jc w:val="center"/>
                    <w:textAlignment w:val="auto"/>
                    <w:rPr>
                      <w:kern w:val="2"/>
                      <w:szCs w:val="21"/>
                    </w:rPr>
                  </w:pPr>
                  <w:r>
                    <w:rPr>
                      <w:kern w:val="2"/>
                      <w:szCs w:val="21"/>
                    </w:rPr>
                    <w:t>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928" w:type="dxa"/>
                  <w:vMerge w:val="continue"/>
                  <w:vAlign w:val="center"/>
                </w:tcPr>
                <w:p>
                  <w:pPr>
                    <w:adjustRightInd/>
                    <w:spacing w:line="360" w:lineRule="auto"/>
                    <w:ind w:firstLine="420"/>
                    <w:jc w:val="center"/>
                    <w:textAlignment w:val="auto"/>
                    <w:rPr>
                      <w:kern w:val="2"/>
                      <w:szCs w:val="21"/>
                    </w:rPr>
                  </w:pPr>
                </w:p>
              </w:tc>
              <w:tc>
                <w:tcPr>
                  <w:tcW w:w="2269" w:type="dxa"/>
                  <w:vAlign w:val="center"/>
                </w:tcPr>
                <w:p>
                  <w:pPr>
                    <w:adjustRightInd/>
                    <w:spacing w:line="360" w:lineRule="auto"/>
                    <w:textAlignment w:val="auto"/>
                    <w:rPr>
                      <w:kern w:val="2"/>
                      <w:szCs w:val="21"/>
                    </w:rPr>
                  </w:pPr>
                  <w:r>
                    <w:rPr>
                      <w:kern w:val="2"/>
                      <w:szCs w:val="21"/>
                    </w:rPr>
                    <w:t>海岸线方向/o</w:t>
                  </w:r>
                </w:p>
              </w:tc>
              <w:tc>
                <w:tcPr>
                  <w:tcW w:w="4049" w:type="dxa"/>
                  <w:vAlign w:val="center"/>
                </w:tcPr>
                <w:p>
                  <w:pPr>
                    <w:adjustRightInd/>
                    <w:spacing w:line="360" w:lineRule="auto"/>
                    <w:ind w:firstLine="420"/>
                    <w:jc w:val="center"/>
                    <w:textAlignment w:val="auto"/>
                    <w:rPr>
                      <w:kern w:val="2"/>
                      <w:szCs w:val="21"/>
                    </w:rPr>
                  </w:pPr>
                  <w:r>
                    <w:rPr>
                      <w:kern w:val="2"/>
                      <w:szCs w:val="21"/>
                    </w:rPr>
                    <w:t>-9.0</w:t>
                  </w:r>
                </w:p>
              </w:tc>
            </w:tr>
          </w:tbl>
          <w:p>
            <w:pPr>
              <w:adjustRightInd/>
              <w:spacing w:line="360" w:lineRule="auto"/>
              <w:ind w:firstLine="422" w:firstLineChars="176"/>
              <w:jc w:val="left"/>
              <w:textAlignment w:val="auto"/>
              <w:rPr>
                <w:rFonts w:cs="宋体"/>
                <w:kern w:val="2"/>
                <w:sz w:val="24"/>
                <w:szCs w:val="24"/>
              </w:rPr>
            </w:pPr>
            <w:r>
              <w:rPr>
                <w:rFonts w:hint="eastAsia" w:cs="宋体"/>
                <w:kern w:val="2"/>
                <w:sz w:val="24"/>
                <w:szCs w:val="24"/>
              </w:rPr>
              <w:t>主要污染源排放模拟结果见表</w:t>
            </w:r>
            <w:r>
              <w:rPr>
                <w:kern w:val="2"/>
                <w:sz w:val="24"/>
                <w:szCs w:val="24"/>
              </w:rPr>
              <w:t>29</w:t>
            </w:r>
            <w:r>
              <w:rPr>
                <w:rFonts w:hint="eastAsia" w:cs="宋体"/>
                <w:kern w:val="2"/>
                <w:sz w:val="24"/>
                <w:szCs w:val="24"/>
              </w:rPr>
              <w:t>。</w:t>
            </w:r>
          </w:p>
          <w:p>
            <w:pPr>
              <w:spacing w:line="360" w:lineRule="auto"/>
              <w:jc w:val="center"/>
              <w:rPr>
                <w:sz w:val="24"/>
                <w:szCs w:val="24"/>
              </w:rPr>
            </w:pPr>
            <w:r>
              <w:rPr>
                <w:rFonts w:hint="eastAsia"/>
                <w:sz w:val="24"/>
                <w:szCs w:val="24"/>
              </w:rPr>
              <w:t>表</w:t>
            </w:r>
            <w:r>
              <w:rPr>
                <w:sz w:val="24"/>
                <w:szCs w:val="24"/>
              </w:rPr>
              <w:t xml:space="preserve">29 </w:t>
            </w:r>
            <w:r>
              <w:rPr>
                <w:rFonts w:hint="eastAsia"/>
                <w:sz w:val="24"/>
                <w:szCs w:val="24"/>
              </w:rPr>
              <w:t>主要污染源估算模型计算结果一览表</w:t>
            </w:r>
          </w:p>
          <w:tbl>
            <w:tblPr>
              <w:tblStyle w:val="27"/>
              <w:tblW w:w="5000" w:type="pct"/>
              <w:tblInd w:w="0" w:type="dxa"/>
              <w:tblLayout w:type="autofit"/>
              <w:tblCellMar>
                <w:top w:w="0" w:type="dxa"/>
                <w:left w:w="108" w:type="dxa"/>
                <w:bottom w:w="0" w:type="dxa"/>
                <w:right w:w="108" w:type="dxa"/>
              </w:tblCellMar>
            </w:tblPr>
            <w:tblGrid>
              <w:gridCol w:w="741"/>
              <w:gridCol w:w="1149"/>
              <w:gridCol w:w="709"/>
              <w:gridCol w:w="1145"/>
              <w:gridCol w:w="648"/>
              <w:gridCol w:w="1196"/>
              <w:gridCol w:w="859"/>
              <w:gridCol w:w="1161"/>
              <w:gridCol w:w="648"/>
            </w:tblGrid>
            <w:tr>
              <w:tblPrEx>
                <w:tblCellMar>
                  <w:top w:w="0" w:type="dxa"/>
                  <w:left w:w="108" w:type="dxa"/>
                  <w:bottom w:w="0" w:type="dxa"/>
                  <w:right w:w="108" w:type="dxa"/>
                </w:tblCellMar>
              </w:tblPrEx>
              <w:trPr>
                <w:trHeight w:val="285" w:hRule="atLeast"/>
              </w:trPr>
              <w:tc>
                <w:tcPr>
                  <w:tcW w:w="450" w:type="pct"/>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adjustRightInd/>
                    <w:spacing w:line="200" w:lineRule="exact"/>
                    <w:jc w:val="center"/>
                    <w:textAlignment w:val="auto"/>
                    <w:rPr>
                      <w:rFonts w:cs="宋体"/>
                      <w:szCs w:val="21"/>
                    </w:rPr>
                  </w:pPr>
                  <w:r>
                    <w:rPr>
                      <w:rFonts w:hint="eastAsia" w:cs="宋体"/>
                      <w:szCs w:val="21"/>
                    </w:rPr>
                    <w:t>下方向距离</w:t>
                  </w:r>
                  <w:r>
                    <w:rPr>
                      <w:szCs w:val="21"/>
                    </w:rPr>
                    <w:t>(m)</w:t>
                  </w:r>
                </w:p>
              </w:tc>
              <w:tc>
                <w:tcPr>
                  <w:tcW w:w="2211" w:type="pct"/>
                  <w:gridSpan w:val="4"/>
                  <w:tcBorders>
                    <w:top w:val="single" w:color="auto" w:sz="8" w:space="0"/>
                    <w:left w:val="nil"/>
                    <w:bottom w:val="single" w:color="auto" w:sz="8" w:space="0"/>
                    <w:right w:val="single" w:color="000000" w:sz="8" w:space="0"/>
                  </w:tcBorders>
                  <w:shd w:val="clear" w:color="auto" w:fill="auto"/>
                  <w:vAlign w:val="center"/>
                </w:tcPr>
                <w:p>
                  <w:pPr>
                    <w:widowControl/>
                    <w:adjustRightInd/>
                    <w:spacing w:line="240" w:lineRule="auto"/>
                    <w:jc w:val="center"/>
                    <w:textAlignment w:val="auto"/>
                    <w:rPr>
                      <w:rFonts w:cs="宋体"/>
                      <w:szCs w:val="21"/>
                    </w:rPr>
                  </w:pPr>
                  <w:r>
                    <w:rPr>
                      <w:rFonts w:hint="eastAsia" w:cs="宋体"/>
                      <w:szCs w:val="21"/>
                    </w:rPr>
                    <w:t>主城区垃圾转运站</w:t>
                  </w:r>
                </w:p>
              </w:tc>
              <w:tc>
                <w:tcPr>
                  <w:tcW w:w="2339" w:type="pct"/>
                  <w:gridSpan w:val="4"/>
                  <w:tcBorders>
                    <w:top w:val="single" w:color="auto" w:sz="8" w:space="0"/>
                    <w:left w:val="nil"/>
                    <w:bottom w:val="single" w:color="auto" w:sz="8" w:space="0"/>
                    <w:right w:val="single" w:color="000000" w:sz="8" w:space="0"/>
                  </w:tcBorders>
                  <w:shd w:val="clear" w:color="auto" w:fill="auto"/>
                  <w:vAlign w:val="center"/>
                </w:tcPr>
                <w:p>
                  <w:pPr>
                    <w:widowControl/>
                    <w:adjustRightInd/>
                    <w:spacing w:line="240" w:lineRule="auto"/>
                    <w:jc w:val="center"/>
                    <w:textAlignment w:val="auto"/>
                    <w:rPr>
                      <w:rFonts w:cs="宋体"/>
                      <w:szCs w:val="21"/>
                    </w:rPr>
                  </w:pPr>
                  <w:r>
                    <w:rPr>
                      <w:rFonts w:hint="eastAsia" w:cs="宋体"/>
                      <w:szCs w:val="21"/>
                    </w:rPr>
                    <w:t>寿王坟镇垃圾转运站</w:t>
                  </w:r>
                </w:p>
              </w:tc>
            </w:tr>
            <w:tr>
              <w:tblPrEx>
                <w:tblCellMar>
                  <w:top w:w="0" w:type="dxa"/>
                  <w:left w:w="108" w:type="dxa"/>
                  <w:bottom w:w="0" w:type="dxa"/>
                  <w:right w:w="108" w:type="dxa"/>
                </w:tblCellMar>
              </w:tblPrEx>
              <w:trPr>
                <w:trHeight w:val="345" w:hRule="atLeast"/>
              </w:trPr>
              <w:tc>
                <w:tcPr>
                  <w:tcW w:w="450" w:type="pct"/>
                  <w:vMerge w:val="continue"/>
                  <w:tcBorders>
                    <w:top w:val="single" w:color="auto" w:sz="8" w:space="0"/>
                    <w:left w:val="single" w:color="auto" w:sz="8" w:space="0"/>
                    <w:bottom w:val="single" w:color="000000" w:sz="8" w:space="0"/>
                    <w:right w:val="single" w:color="auto" w:sz="8" w:space="0"/>
                  </w:tcBorders>
                  <w:vAlign w:val="center"/>
                </w:tcPr>
                <w:p>
                  <w:pPr>
                    <w:widowControl/>
                    <w:adjustRightInd/>
                    <w:spacing w:line="240" w:lineRule="auto"/>
                    <w:jc w:val="left"/>
                    <w:textAlignment w:val="auto"/>
                    <w:rPr>
                      <w:rFonts w:cs="宋体"/>
                      <w:szCs w:val="21"/>
                    </w:rPr>
                  </w:pPr>
                </w:p>
              </w:tc>
              <w:tc>
                <w:tcPr>
                  <w:tcW w:w="698" w:type="pct"/>
                  <w:vMerge w:val="restart"/>
                  <w:tcBorders>
                    <w:top w:val="nil"/>
                    <w:left w:val="single" w:color="auto" w:sz="8" w:space="0"/>
                    <w:bottom w:val="single" w:color="000000" w:sz="8" w:space="0"/>
                    <w:right w:val="single" w:color="auto" w:sz="8" w:space="0"/>
                  </w:tcBorders>
                  <w:shd w:val="clear" w:color="auto" w:fill="auto"/>
                  <w:vAlign w:val="center"/>
                </w:tcPr>
                <w:p>
                  <w:pPr>
                    <w:widowControl/>
                    <w:adjustRightInd/>
                    <w:spacing w:line="200" w:lineRule="exact"/>
                    <w:jc w:val="center"/>
                    <w:textAlignment w:val="auto"/>
                    <w:rPr>
                      <w:szCs w:val="21"/>
                    </w:rPr>
                  </w:pPr>
                  <w:r>
                    <w:rPr>
                      <w:szCs w:val="21"/>
                    </w:rPr>
                    <w:t>NH</w:t>
                  </w:r>
                  <w:r>
                    <w:rPr>
                      <w:szCs w:val="21"/>
                      <w:vertAlign w:val="subscript"/>
                    </w:rPr>
                    <w:t>3</w:t>
                  </w:r>
                  <w:r>
                    <w:rPr>
                      <w:szCs w:val="21"/>
                    </w:rPr>
                    <w:t>浓度(ug/m</w:t>
                  </w:r>
                  <w:r>
                    <w:rPr>
                      <w:szCs w:val="21"/>
                      <w:vertAlign w:val="superscript"/>
                    </w:rPr>
                    <w:t>3</w:t>
                  </w:r>
                  <w:r>
                    <w:rPr>
                      <w:szCs w:val="21"/>
                    </w:rPr>
                    <w:t>)</w:t>
                  </w:r>
                </w:p>
              </w:tc>
              <w:tc>
                <w:tcPr>
                  <w:tcW w:w="431" w:type="pct"/>
                  <w:tcBorders>
                    <w:top w:val="nil"/>
                    <w:left w:val="nil"/>
                    <w:bottom w:val="nil"/>
                    <w:right w:val="single" w:color="auto" w:sz="8" w:space="0"/>
                  </w:tcBorders>
                  <w:shd w:val="clear" w:color="auto" w:fill="auto"/>
                  <w:vAlign w:val="center"/>
                </w:tcPr>
                <w:p>
                  <w:pPr>
                    <w:widowControl/>
                    <w:adjustRightInd/>
                    <w:spacing w:line="200" w:lineRule="exact"/>
                    <w:jc w:val="center"/>
                    <w:textAlignment w:val="auto"/>
                    <w:rPr>
                      <w:szCs w:val="21"/>
                    </w:rPr>
                  </w:pPr>
                  <w:r>
                    <w:rPr>
                      <w:szCs w:val="21"/>
                    </w:rPr>
                    <w:t>NH</w:t>
                  </w:r>
                  <w:r>
                    <w:rPr>
                      <w:szCs w:val="21"/>
                      <w:vertAlign w:val="subscript"/>
                    </w:rPr>
                    <w:t>3</w:t>
                  </w:r>
                </w:p>
              </w:tc>
              <w:tc>
                <w:tcPr>
                  <w:tcW w:w="695" w:type="pct"/>
                  <w:vMerge w:val="restart"/>
                  <w:tcBorders>
                    <w:top w:val="nil"/>
                    <w:left w:val="single" w:color="auto" w:sz="8" w:space="0"/>
                    <w:bottom w:val="single" w:color="000000" w:sz="8" w:space="0"/>
                    <w:right w:val="single" w:color="auto" w:sz="8" w:space="0"/>
                  </w:tcBorders>
                  <w:shd w:val="clear" w:color="auto" w:fill="auto"/>
                  <w:vAlign w:val="center"/>
                </w:tcPr>
                <w:p>
                  <w:pPr>
                    <w:widowControl/>
                    <w:adjustRightInd/>
                    <w:spacing w:line="200" w:lineRule="exact"/>
                    <w:jc w:val="center"/>
                    <w:textAlignment w:val="auto"/>
                    <w:rPr>
                      <w:szCs w:val="21"/>
                    </w:rPr>
                  </w:pPr>
                  <w:r>
                    <w:rPr>
                      <w:szCs w:val="21"/>
                    </w:rPr>
                    <w:t>H</w:t>
                  </w:r>
                  <w:r>
                    <w:rPr>
                      <w:szCs w:val="21"/>
                      <w:vertAlign w:val="subscript"/>
                    </w:rPr>
                    <w:t>2</w:t>
                  </w:r>
                  <w:r>
                    <w:rPr>
                      <w:szCs w:val="21"/>
                    </w:rPr>
                    <w:t>S浓度(ug/m</w:t>
                  </w:r>
                  <w:r>
                    <w:rPr>
                      <w:szCs w:val="21"/>
                      <w:vertAlign w:val="superscript"/>
                    </w:rPr>
                    <w:t>3</w:t>
                  </w:r>
                  <w:r>
                    <w:rPr>
                      <w:szCs w:val="21"/>
                    </w:rPr>
                    <w:t>)</w:t>
                  </w:r>
                </w:p>
              </w:tc>
              <w:tc>
                <w:tcPr>
                  <w:tcW w:w="387" w:type="pct"/>
                  <w:tcBorders>
                    <w:top w:val="nil"/>
                    <w:left w:val="nil"/>
                    <w:bottom w:val="nil"/>
                    <w:right w:val="single" w:color="auto" w:sz="8" w:space="0"/>
                  </w:tcBorders>
                  <w:shd w:val="clear" w:color="auto" w:fill="auto"/>
                  <w:vAlign w:val="center"/>
                </w:tcPr>
                <w:p>
                  <w:pPr>
                    <w:widowControl/>
                    <w:adjustRightInd/>
                    <w:spacing w:line="200" w:lineRule="exact"/>
                    <w:jc w:val="center"/>
                    <w:textAlignment w:val="auto"/>
                    <w:rPr>
                      <w:szCs w:val="21"/>
                    </w:rPr>
                  </w:pPr>
                  <w:r>
                    <w:rPr>
                      <w:szCs w:val="21"/>
                    </w:rPr>
                    <w:t>H</w:t>
                  </w:r>
                  <w:r>
                    <w:rPr>
                      <w:szCs w:val="21"/>
                      <w:vertAlign w:val="subscript"/>
                    </w:rPr>
                    <w:t>2</w:t>
                  </w:r>
                  <w:r>
                    <w:rPr>
                      <w:szCs w:val="21"/>
                    </w:rPr>
                    <w:t>S</w:t>
                  </w:r>
                </w:p>
              </w:tc>
              <w:tc>
                <w:tcPr>
                  <w:tcW w:w="726" w:type="pct"/>
                  <w:vMerge w:val="restart"/>
                  <w:tcBorders>
                    <w:top w:val="nil"/>
                    <w:left w:val="single" w:color="auto" w:sz="8" w:space="0"/>
                    <w:bottom w:val="single" w:color="000000" w:sz="8" w:space="0"/>
                    <w:right w:val="single" w:color="auto" w:sz="8" w:space="0"/>
                  </w:tcBorders>
                  <w:shd w:val="clear" w:color="auto" w:fill="auto"/>
                  <w:vAlign w:val="center"/>
                </w:tcPr>
                <w:p>
                  <w:pPr>
                    <w:widowControl/>
                    <w:adjustRightInd/>
                    <w:spacing w:line="200" w:lineRule="exact"/>
                    <w:jc w:val="center"/>
                    <w:textAlignment w:val="auto"/>
                    <w:rPr>
                      <w:szCs w:val="21"/>
                    </w:rPr>
                  </w:pPr>
                  <w:r>
                    <w:rPr>
                      <w:szCs w:val="21"/>
                    </w:rPr>
                    <w:t>NH</w:t>
                  </w:r>
                  <w:r>
                    <w:rPr>
                      <w:szCs w:val="21"/>
                      <w:vertAlign w:val="subscript"/>
                    </w:rPr>
                    <w:t>3</w:t>
                  </w:r>
                  <w:r>
                    <w:rPr>
                      <w:szCs w:val="21"/>
                    </w:rPr>
                    <w:t>浓度(ug/m</w:t>
                  </w:r>
                  <w:r>
                    <w:rPr>
                      <w:szCs w:val="21"/>
                      <w:vertAlign w:val="superscript"/>
                    </w:rPr>
                    <w:t>3</w:t>
                  </w:r>
                  <w:r>
                    <w:rPr>
                      <w:szCs w:val="21"/>
                    </w:rPr>
                    <w:t>)</w:t>
                  </w:r>
                </w:p>
              </w:tc>
              <w:tc>
                <w:tcPr>
                  <w:tcW w:w="522" w:type="pct"/>
                  <w:tcBorders>
                    <w:top w:val="nil"/>
                    <w:left w:val="nil"/>
                    <w:bottom w:val="nil"/>
                    <w:right w:val="single" w:color="auto" w:sz="8" w:space="0"/>
                  </w:tcBorders>
                  <w:shd w:val="clear" w:color="auto" w:fill="auto"/>
                  <w:vAlign w:val="center"/>
                </w:tcPr>
                <w:p>
                  <w:pPr>
                    <w:widowControl/>
                    <w:adjustRightInd/>
                    <w:spacing w:line="200" w:lineRule="exact"/>
                    <w:jc w:val="center"/>
                    <w:textAlignment w:val="auto"/>
                    <w:rPr>
                      <w:szCs w:val="21"/>
                    </w:rPr>
                  </w:pPr>
                  <w:r>
                    <w:rPr>
                      <w:szCs w:val="21"/>
                    </w:rPr>
                    <w:t>NH</w:t>
                  </w:r>
                  <w:r>
                    <w:rPr>
                      <w:szCs w:val="21"/>
                      <w:vertAlign w:val="subscript"/>
                    </w:rPr>
                    <w:t>3</w:t>
                  </w:r>
                </w:p>
              </w:tc>
              <w:tc>
                <w:tcPr>
                  <w:tcW w:w="705" w:type="pct"/>
                  <w:vMerge w:val="restart"/>
                  <w:tcBorders>
                    <w:top w:val="nil"/>
                    <w:left w:val="single" w:color="auto" w:sz="8" w:space="0"/>
                    <w:bottom w:val="single" w:color="000000" w:sz="8" w:space="0"/>
                    <w:right w:val="single" w:color="auto" w:sz="8" w:space="0"/>
                  </w:tcBorders>
                  <w:shd w:val="clear" w:color="auto" w:fill="auto"/>
                  <w:vAlign w:val="center"/>
                </w:tcPr>
                <w:p>
                  <w:pPr>
                    <w:widowControl/>
                    <w:adjustRightInd/>
                    <w:spacing w:line="200" w:lineRule="exact"/>
                    <w:jc w:val="center"/>
                    <w:textAlignment w:val="auto"/>
                    <w:rPr>
                      <w:szCs w:val="21"/>
                    </w:rPr>
                  </w:pPr>
                  <w:r>
                    <w:rPr>
                      <w:szCs w:val="21"/>
                    </w:rPr>
                    <w:t>H</w:t>
                  </w:r>
                  <w:r>
                    <w:rPr>
                      <w:szCs w:val="21"/>
                      <w:vertAlign w:val="subscript"/>
                    </w:rPr>
                    <w:t>2</w:t>
                  </w:r>
                  <w:r>
                    <w:rPr>
                      <w:szCs w:val="21"/>
                    </w:rPr>
                    <w:t>S浓度（ug/m</w:t>
                  </w:r>
                  <w:r>
                    <w:rPr>
                      <w:szCs w:val="21"/>
                      <w:vertAlign w:val="superscript"/>
                    </w:rPr>
                    <w:t>3</w:t>
                  </w:r>
                  <w:r>
                    <w:rPr>
                      <w:szCs w:val="21"/>
                    </w:rPr>
                    <w:t>）</w:t>
                  </w:r>
                </w:p>
              </w:tc>
              <w:tc>
                <w:tcPr>
                  <w:tcW w:w="386" w:type="pct"/>
                  <w:tcBorders>
                    <w:top w:val="nil"/>
                    <w:left w:val="nil"/>
                    <w:bottom w:val="nil"/>
                    <w:right w:val="single" w:color="auto" w:sz="8" w:space="0"/>
                  </w:tcBorders>
                  <w:shd w:val="clear" w:color="auto" w:fill="auto"/>
                  <w:vAlign w:val="center"/>
                </w:tcPr>
                <w:p>
                  <w:pPr>
                    <w:widowControl/>
                    <w:adjustRightInd/>
                    <w:spacing w:line="200" w:lineRule="exact"/>
                    <w:jc w:val="center"/>
                    <w:textAlignment w:val="auto"/>
                    <w:rPr>
                      <w:szCs w:val="21"/>
                    </w:rPr>
                  </w:pPr>
                  <w:r>
                    <w:rPr>
                      <w:szCs w:val="21"/>
                    </w:rPr>
                    <w:t>H</w:t>
                  </w:r>
                  <w:r>
                    <w:rPr>
                      <w:szCs w:val="21"/>
                      <w:vertAlign w:val="subscript"/>
                    </w:rPr>
                    <w:t>2</w:t>
                  </w:r>
                  <w:r>
                    <w:rPr>
                      <w:szCs w:val="21"/>
                    </w:rPr>
                    <w:t>S</w:t>
                  </w:r>
                </w:p>
              </w:tc>
            </w:tr>
            <w:tr>
              <w:tblPrEx>
                <w:tblCellMar>
                  <w:top w:w="0" w:type="dxa"/>
                  <w:left w:w="108" w:type="dxa"/>
                  <w:bottom w:w="0" w:type="dxa"/>
                  <w:right w:w="108" w:type="dxa"/>
                </w:tblCellMar>
              </w:tblPrEx>
              <w:trPr>
                <w:trHeight w:val="285" w:hRule="atLeast"/>
              </w:trPr>
              <w:tc>
                <w:tcPr>
                  <w:tcW w:w="450" w:type="pct"/>
                  <w:vMerge w:val="continue"/>
                  <w:tcBorders>
                    <w:top w:val="single" w:color="auto" w:sz="8" w:space="0"/>
                    <w:left w:val="single" w:color="auto" w:sz="8" w:space="0"/>
                    <w:bottom w:val="single" w:color="000000" w:sz="8" w:space="0"/>
                    <w:right w:val="single" w:color="auto" w:sz="8" w:space="0"/>
                  </w:tcBorders>
                  <w:vAlign w:val="center"/>
                </w:tcPr>
                <w:p>
                  <w:pPr>
                    <w:widowControl/>
                    <w:adjustRightInd/>
                    <w:spacing w:line="240" w:lineRule="auto"/>
                    <w:jc w:val="left"/>
                    <w:textAlignment w:val="auto"/>
                    <w:rPr>
                      <w:rFonts w:cs="宋体"/>
                      <w:szCs w:val="21"/>
                    </w:rPr>
                  </w:pPr>
                </w:p>
              </w:tc>
              <w:tc>
                <w:tcPr>
                  <w:tcW w:w="698" w:type="pct"/>
                  <w:vMerge w:val="continue"/>
                  <w:tcBorders>
                    <w:top w:val="nil"/>
                    <w:left w:val="single" w:color="auto" w:sz="8" w:space="0"/>
                    <w:bottom w:val="single" w:color="000000" w:sz="8" w:space="0"/>
                    <w:right w:val="single" w:color="auto" w:sz="8" w:space="0"/>
                  </w:tcBorders>
                  <w:vAlign w:val="center"/>
                </w:tcPr>
                <w:p>
                  <w:pPr>
                    <w:widowControl/>
                    <w:adjustRightInd/>
                    <w:spacing w:line="240" w:lineRule="auto"/>
                    <w:jc w:val="left"/>
                    <w:textAlignment w:val="auto"/>
                    <w:rPr>
                      <w:szCs w:val="21"/>
                    </w:rPr>
                  </w:pPr>
                </w:p>
              </w:tc>
              <w:tc>
                <w:tcPr>
                  <w:tcW w:w="431" w:type="pct"/>
                  <w:tcBorders>
                    <w:top w:val="nil"/>
                    <w:left w:val="nil"/>
                    <w:bottom w:val="single" w:color="auto" w:sz="8" w:space="0"/>
                    <w:right w:val="single" w:color="auto" w:sz="8" w:space="0"/>
                  </w:tcBorders>
                  <w:shd w:val="clear" w:color="auto" w:fill="auto"/>
                  <w:vAlign w:val="center"/>
                </w:tcPr>
                <w:p>
                  <w:pPr>
                    <w:widowControl/>
                    <w:adjustRightInd/>
                    <w:spacing w:line="200" w:lineRule="exact"/>
                    <w:jc w:val="center"/>
                    <w:textAlignment w:val="auto"/>
                    <w:rPr>
                      <w:szCs w:val="21"/>
                    </w:rPr>
                  </w:pPr>
                  <w:r>
                    <w:rPr>
                      <w:szCs w:val="21"/>
                    </w:rPr>
                    <w:t>P(%)</w:t>
                  </w:r>
                </w:p>
              </w:tc>
              <w:tc>
                <w:tcPr>
                  <w:tcW w:w="695" w:type="pct"/>
                  <w:vMerge w:val="continue"/>
                  <w:tcBorders>
                    <w:top w:val="nil"/>
                    <w:left w:val="single" w:color="auto" w:sz="8" w:space="0"/>
                    <w:bottom w:val="single" w:color="000000" w:sz="8" w:space="0"/>
                    <w:right w:val="single" w:color="auto" w:sz="8" w:space="0"/>
                  </w:tcBorders>
                  <w:vAlign w:val="center"/>
                </w:tcPr>
                <w:p>
                  <w:pPr>
                    <w:widowControl/>
                    <w:adjustRightInd/>
                    <w:spacing w:line="240" w:lineRule="auto"/>
                    <w:jc w:val="left"/>
                    <w:textAlignment w:val="auto"/>
                    <w:rPr>
                      <w:szCs w:val="21"/>
                    </w:rPr>
                  </w:pPr>
                </w:p>
              </w:tc>
              <w:tc>
                <w:tcPr>
                  <w:tcW w:w="387" w:type="pct"/>
                  <w:tcBorders>
                    <w:top w:val="nil"/>
                    <w:left w:val="nil"/>
                    <w:bottom w:val="single" w:color="auto" w:sz="8" w:space="0"/>
                    <w:right w:val="single" w:color="auto" w:sz="8" w:space="0"/>
                  </w:tcBorders>
                  <w:shd w:val="clear" w:color="auto" w:fill="auto"/>
                  <w:vAlign w:val="center"/>
                </w:tcPr>
                <w:p>
                  <w:pPr>
                    <w:widowControl/>
                    <w:adjustRightInd/>
                    <w:spacing w:line="200" w:lineRule="exact"/>
                    <w:jc w:val="center"/>
                    <w:textAlignment w:val="auto"/>
                    <w:rPr>
                      <w:szCs w:val="21"/>
                    </w:rPr>
                  </w:pPr>
                  <w:r>
                    <w:rPr>
                      <w:szCs w:val="21"/>
                    </w:rPr>
                    <w:t>P(%)</w:t>
                  </w:r>
                </w:p>
              </w:tc>
              <w:tc>
                <w:tcPr>
                  <w:tcW w:w="726" w:type="pct"/>
                  <w:vMerge w:val="continue"/>
                  <w:tcBorders>
                    <w:top w:val="nil"/>
                    <w:left w:val="single" w:color="auto" w:sz="8" w:space="0"/>
                    <w:bottom w:val="single" w:color="000000" w:sz="8" w:space="0"/>
                    <w:right w:val="single" w:color="auto" w:sz="8" w:space="0"/>
                  </w:tcBorders>
                  <w:vAlign w:val="center"/>
                </w:tcPr>
                <w:p>
                  <w:pPr>
                    <w:widowControl/>
                    <w:adjustRightInd/>
                    <w:spacing w:line="240" w:lineRule="auto"/>
                    <w:jc w:val="left"/>
                    <w:textAlignment w:val="auto"/>
                    <w:rPr>
                      <w:szCs w:val="21"/>
                    </w:rPr>
                  </w:pPr>
                </w:p>
              </w:tc>
              <w:tc>
                <w:tcPr>
                  <w:tcW w:w="522" w:type="pct"/>
                  <w:tcBorders>
                    <w:top w:val="nil"/>
                    <w:left w:val="nil"/>
                    <w:bottom w:val="single" w:color="auto" w:sz="8" w:space="0"/>
                    <w:right w:val="single" w:color="auto" w:sz="8" w:space="0"/>
                  </w:tcBorders>
                  <w:shd w:val="clear" w:color="auto" w:fill="auto"/>
                  <w:vAlign w:val="center"/>
                </w:tcPr>
                <w:p>
                  <w:pPr>
                    <w:widowControl/>
                    <w:adjustRightInd/>
                    <w:spacing w:line="200" w:lineRule="exact"/>
                    <w:jc w:val="center"/>
                    <w:textAlignment w:val="auto"/>
                    <w:rPr>
                      <w:szCs w:val="21"/>
                    </w:rPr>
                  </w:pPr>
                  <w:r>
                    <w:rPr>
                      <w:szCs w:val="21"/>
                    </w:rPr>
                    <w:t>P(%)</w:t>
                  </w:r>
                </w:p>
              </w:tc>
              <w:tc>
                <w:tcPr>
                  <w:tcW w:w="705" w:type="pct"/>
                  <w:vMerge w:val="continue"/>
                  <w:tcBorders>
                    <w:top w:val="nil"/>
                    <w:left w:val="single" w:color="auto" w:sz="8" w:space="0"/>
                    <w:bottom w:val="single" w:color="000000" w:sz="8" w:space="0"/>
                    <w:right w:val="single" w:color="auto" w:sz="8" w:space="0"/>
                  </w:tcBorders>
                  <w:vAlign w:val="center"/>
                </w:tcPr>
                <w:p>
                  <w:pPr>
                    <w:widowControl/>
                    <w:adjustRightInd/>
                    <w:spacing w:line="240" w:lineRule="auto"/>
                    <w:jc w:val="left"/>
                    <w:textAlignment w:val="auto"/>
                    <w:rPr>
                      <w:szCs w:val="21"/>
                    </w:rPr>
                  </w:pPr>
                </w:p>
              </w:tc>
              <w:tc>
                <w:tcPr>
                  <w:tcW w:w="386" w:type="pct"/>
                  <w:tcBorders>
                    <w:top w:val="nil"/>
                    <w:left w:val="nil"/>
                    <w:bottom w:val="single" w:color="auto" w:sz="8" w:space="0"/>
                    <w:right w:val="single" w:color="auto" w:sz="8" w:space="0"/>
                  </w:tcBorders>
                  <w:shd w:val="clear" w:color="auto" w:fill="auto"/>
                  <w:vAlign w:val="center"/>
                </w:tcPr>
                <w:p>
                  <w:pPr>
                    <w:widowControl/>
                    <w:adjustRightInd/>
                    <w:spacing w:line="200" w:lineRule="exact"/>
                    <w:jc w:val="center"/>
                    <w:textAlignment w:val="auto"/>
                    <w:rPr>
                      <w:szCs w:val="21"/>
                    </w:rPr>
                  </w:pPr>
                  <w:r>
                    <w:rPr>
                      <w:szCs w:val="21"/>
                    </w:rPr>
                    <w:t>P(%)</w:t>
                  </w:r>
                </w:p>
              </w:tc>
            </w:tr>
            <w:tr>
              <w:tblPrEx>
                <w:tblCellMar>
                  <w:top w:w="0" w:type="dxa"/>
                  <w:left w:w="108" w:type="dxa"/>
                  <w:bottom w:w="0" w:type="dxa"/>
                  <w:right w:w="108" w:type="dxa"/>
                </w:tblCellMar>
              </w:tblPrEx>
              <w:trPr>
                <w:trHeight w:val="285" w:hRule="atLeast"/>
              </w:trPr>
              <w:tc>
                <w:tcPr>
                  <w:tcW w:w="450" w:type="pct"/>
                  <w:tcBorders>
                    <w:top w:val="nil"/>
                    <w:left w:val="single" w:color="auto" w:sz="8" w:space="0"/>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50</w:t>
                  </w:r>
                </w:p>
              </w:tc>
              <w:tc>
                <w:tcPr>
                  <w:tcW w:w="698"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0.02 </w:t>
                  </w:r>
                </w:p>
              </w:tc>
              <w:tc>
                <w:tcPr>
                  <w:tcW w:w="431"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0.01 </w:t>
                  </w:r>
                </w:p>
              </w:tc>
              <w:tc>
                <w:tcPr>
                  <w:tcW w:w="69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387"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0.02 </w:t>
                  </w:r>
                </w:p>
              </w:tc>
              <w:tc>
                <w:tcPr>
                  <w:tcW w:w="72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0.01 </w:t>
                  </w:r>
                </w:p>
              </w:tc>
              <w:tc>
                <w:tcPr>
                  <w:tcW w:w="522"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0.01 </w:t>
                  </w:r>
                </w:p>
              </w:tc>
              <w:tc>
                <w:tcPr>
                  <w:tcW w:w="70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38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0.01 </w:t>
                  </w:r>
                </w:p>
              </w:tc>
            </w:tr>
            <w:tr>
              <w:tblPrEx>
                <w:tblCellMar>
                  <w:top w:w="0" w:type="dxa"/>
                  <w:left w:w="108" w:type="dxa"/>
                  <w:bottom w:w="0" w:type="dxa"/>
                  <w:right w:w="108" w:type="dxa"/>
                </w:tblCellMar>
              </w:tblPrEx>
              <w:trPr>
                <w:trHeight w:val="285" w:hRule="atLeast"/>
              </w:trPr>
              <w:tc>
                <w:tcPr>
                  <w:tcW w:w="450" w:type="pct"/>
                  <w:tcBorders>
                    <w:top w:val="nil"/>
                    <w:left w:val="single" w:color="auto" w:sz="8" w:space="0"/>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100</w:t>
                  </w:r>
                </w:p>
              </w:tc>
              <w:tc>
                <w:tcPr>
                  <w:tcW w:w="698"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0.06 </w:t>
                  </w:r>
                </w:p>
              </w:tc>
              <w:tc>
                <w:tcPr>
                  <w:tcW w:w="431"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0.03 </w:t>
                  </w:r>
                </w:p>
              </w:tc>
              <w:tc>
                <w:tcPr>
                  <w:tcW w:w="69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0.01 </w:t>
                  </w:r>
                </w:p>
              </w:tc>
              <w:tc>
                <w:tcPr>
                  <w:tcW w:w="387"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0.06 </w:t>
                  </w:r>
                </w:p>
              </w:tc>
              <w:tc>
                <w:tcPr>
                  <w:tcW w:w="72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522"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70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0.09 </w:t>
                  </w:r>
                </w:p>
              </w:tc>
              <w:tc>
                <w:tcPr>
                  <w:tcW w:w="38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0.86 </w:t>
                  </w:r>
                </w:p>
              </w:tc>
            </w:tr>
            <w:tr>
              <w:tblPrEx>
                <w:tblCellMar>
                  <w:top w:w="0" w:type="dxa"/>
                  <w:left w:w="108" w:type="dxa"/>
                  <w:bottom w:w="0" w:type="dxa"/>
                  <w:right w:w="108" w:type="dxa"/>
                </w:tblCellMar>
              </w:tblPrEx>
              <w:trPr>
                <w:trHeight w:val="285" w:hRule="atLeast"/>
              </w:trPr>
              <w:tc>
                <w:tcPr>
                  <w:tcW w:w="450" w:type="pct"/>
                  <w:tcBorders>
                    <w:top w:val="nil"/>
                    <w:left w:val="single" w:color="auto" w:sz="8" w:space="0"/>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200</w:t>
                  </w:r>
                </w:p>
              </w:tc>
              <w:tc>
                <w:tcPr>
                  <w:tcW w:w="698"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0.92 </w:t>
                  </w:r>
                </w:p>
              </w:tc>
              <w:tc>
                <w:tcPr>
                  <w:tcW w:w="431"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0.46 </w:t>
                  </w:r>
                </w:p>
              </w:tc>
              <w:tc>
                <w:tcPr>
                  <w:tcW w:w="69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0.10 </w:t>
                  </w:r>
                </w:p>
              </w:tc>
              <w:tc>
                <w:tcPr>
                  <w:tcW w:w="387"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0.96 </w:t>
                  </w:r>
                </w:p>
              </w:tc>
              <w:tc>
                <w:tcPr>
                  <w:tcW w:w="72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0.80 </w:t>
                  </w:r>
                </w:p>
              </w:tc>
              <w:tc>
                <w:tcPr>
                  <w:tcW w:w="522"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0.80 </w:t>
                  </w:r>
                </w:p>
              </w:tc>
              <w:tc>
                <w:tcPr>
                  <w:tcW w:w="70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0.03 </w:t>
                  </w:r>
                </w:p>
              </w:tc>
              <w:tc>
                <w:tcPr>
                  <w:tcW w:w="38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0.30 </w:t>
                  </w:r>
                </w:p>
              </w:tc>
            </w:tr>
            <w:tr>
              <w:tblPrEx>
                <w:tblCellMar>
                  <w:top w:w="0" w:type="dxa"/>
                  <w:left w:w="108" w:type="dxa"/>
                  <w:bottom w:w="0" w:type="dxa"/>
                  <w:right w:w="108" w:type="dxa"/>
                </w:tblCellMar>
              </w:tblPrEx>
              <w:trPr>
                <w:trHeight w:val="285" w:hRule="atLeast"/>
              </w:trPr>
              <w:tc>
                <w:tcPr>
                  <w:tcW w:w="450" w:type="pct"/>
                  <w:tcBorders>
                    <w:top w:val="nil"/>
                    <w:left w:val="single" w:color="auto" w:sz="8" w:space="0"/>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300</w:t>
                  </w:r>
                </w:p>
              </w:tc>
              <w:tc>
                <w:tcPr>
                  <w:tcW w:w="698"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0.58 </w:t>
                  </w:r>
                </w:p>
              </w:tc>
              <w:tc>
                <w:tcPr>
                  <w:tcW w:w="431"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0.29 </w:t>
                  </w:r>
                </w:p>
              </w:tc>
              <w:tc>
                <w:tcPr>
                  <w:tcW w:w="69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0.06 </w:t>
                  </w:r>
                </w:p>
              </w:tc>
              <w:tc>
                <w:tcPr>
                  <w:tcW w:w="387"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0.60 </w:t>
                  </w:r>
                </w:p>
              </w:tc>
              <w:tc>
                <w:tcPr>
                  <w:tcW w:w="72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0.40 </w:t>
                  </w:r>
                </w:p>
              </w:tc>
              <w:tc>
                <w:tcPr>
                  <w:tcW w:w="522"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0.40 </w:t>
                  </w:r>
                </w:p>
              </w:tc>
              <w:tc>
                <w:tcPr>
                  <w:tcW w:w="70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0.02 </w:t>
                  </w:r>
                </w:p>
              </w:tc>
              <w:tc>
                <w:tcPr>
                  <w:tcW w:w="38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0.21 </w:t>
                  </w:r>
                </w:p>
              </w:tc>
            </w:tr>
            <w:tr>
              <w:tblPrEx>
                <w:tblCellMar>
                  <w:top w:w="0" w:type="dxa"/>
                  <w:left w:w="108" w:type="dxa"/>
                  <w:bottom w:w="0" w:type="dxa"/>
                  <w:right w:w="108" w:type="dxa"/>
                </w:tblCellMar>
              </w:tblPrEx>
              <w:trPr>
                <w:trHeight w:val="285" w:hRule="atLeast"/>
              </w:trPr>
              <w:tc>
                <w:tcPr>
                  <w:tcW w:w="450" w:type="pct"/>
                  <w:tcBorders>
                    <w:top w:val="nil"/>
                    <w:left w:val="single" w:color="auto" w:sz="8" w:space="0"/>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400</w:t>
                  </w:r>
                </w:p>
              </w:tc>
              <w:tc>
                <w:tcPr>
                  <w:tcW w:w="698"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0.40 </w:t>
                  </w:r>
                </w:p>
              </w:tc>
              <w:tc>
                <w:tcPr>
                  <w:tcW w:w="431"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0.20 </w:t>
                  </w:r>
                </w:p>
              </w:tc>
              <w:tc>
                <w:tcPr>
                  <w:tcW w:w="69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0.04 </w:t>
                  </w:r>
                </w:p>
              </w:tc>
              <w:tc>
                <w:tcPr>
                  <w:tcW w:w="387"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0.42 </w:t>
                  </w:r>
                </w:p>
              </w:tc>
              <w:tc>
                <w:tcPr>
                  <w:tcW w:w="72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0.28 </w:t>
                  </w:r>
                </w:p>
              </w:tc>
              <w:tc>
                <w:tcPr>
                  <w:tcW w:w="522"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0.28 </w:t>
                  </w:r>
                </w:p>
              </w:tc>
              <w:tc>
                <w:tcPr>
                  <w:tcW w:w="70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0.01 </w:t>
                  </w:r>
                </w:p>
              </w:tc>
              <w:tc>
                <w:tcPr>
                  <w:tcW w:w="38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0.06 </w:t>
                  </w:r>
                </w:p>
              </w:tc>
            </w:tr>
            <w:tr>
              <w:tblPrEx>
                <w:tblCellMar>
                  <w:top w:w="0" w:type="dxa"/>
                  <w:left w:w="108" w:type="dxa"/>
                  <w:bottom w:w="0" w:type="dxa"/>
                  <w:right w:w="108" w:type="dxa"/>
                </w:tblCellMar>
              </w:tblPrEx>
              <w:trPr>
                <w:trHeight w:val="285" w:hRule="atLeast"/>
              </w:trPr>
              <w:tc>
                <w:tcPr>
                  <w:tcW w:w="450" w:type="pct"/>
                  <w:tcBorders>
                    <w:top w:val="nil"/>
                    <w:left w:val="single" w:color="auto" w:sz="8" w:space="0"/>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500</w:t>
                  </w:r>
                </w:p>
              </w:tc>
              <w:tc>
                <w:tcPr>
                  <w:tcW w:w="698"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0.30 </w:t>
                  </w:r>
                </w:p>
              </w:tc>
              <w:tc>
                <w:tcPr>
                  <w:tcW w:w="431"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0.15 </w:t>
                  </w:r>
                </w:p>
              </w:tc>
              <w:tc>
                <w:tcPr>
                  <w:tcW w:w="69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0.03 </w:t>
                  </w:r>
                </w:p>
              </w:tc>
              <w:tc>
                <w:tcPr>
                  <w:tcW w:w="387"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0.32 </w:t>
                  </w:r>
                </w:p>
              </w:tc>
              <w:tc>
                <w:tcPr>
                  <w:tcW w:w="72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0.14 </w:t>
                  </w:r>
                </w:p>
              </w:tc>
              <w:tc>
                <w:tcPr>
                  <w:tcW w:w="522"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0.14 </w:t>
                  </w:r>
                </w:p>
              </w:tc>
              <w:tc>
                <w:tcPr>
                  <w:tcW w:w="70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38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0.04 </w:t>
                  </w:r>
                </w:p>
              </w:tc>
            </w:tr>
            <w:tr>
              <w:tblPrEx>
                <w:tblCellMar>
                  <w:top w:w="0" w:type="dxa"/>
                  <w:left w:w="108" w:type="dxa"/>
                  <w:bottom w:w="0" w:type="dxa"/>
                  <w:right w:w="108" w:type="dxa"/>
                </w:tblCellMar>
              </w:tblPrEx>
              <w:trPr>
                <w:trHeight w:val="285" w:hRule="atLeast"/>
              </w:trPr>
              <w:tc>
                <w:tcPr>
                  <w:tcW w:w="450" w:type="pct"/>
                  <w:tcBorders>
                    <w:top w:val="nil"/>
                    <w:left w:val="single" w:color="auto" w:sz="8" w:space="0"/>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600</w:t>
                  </w:r>
                </w:p>
              </w:tc>
              <w:tc>
                <w:tcPr>
                  <w:tcW w:w="698"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0.24 </w:t>
                  </w:r>
                </w:p>
              </w:tc>
              <w:tc>
                <w:tcPr>
                  <w:tcW w:w="431"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0.12 </w:t>
                  </w:r>
                </w:p>
              </w:tc>
              <w:tc>
                <w:tcPr>
                  <w:tcW w:w="69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0.02 </w:t>
                  </w:r>
                </w:p>
              </w:tc>
              <w:tc>
                <w:tcPr>
                  <w:tcW w:w="387"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0.25 </w:t>
                  </w:r>
                </w:p>
              </w:tc>
              <w:tc>
                <w:tcPr>
                  <w:tcW w:w="72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0.19 </w:t>
                  </w:r>
                </w:p>
              </w:tc>
              <w:tc>
                <w:tcPr>
                  <w:tcW w:w="522"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0.19 </w:t>
                  </w:r>
                </w:p>
              </w:tc>
              <w:tc>
                <w:tcPr>
                  <w:tcW w:w="70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0.01 </w:t>
                  </w:r>
                </w:p>
              </w:tc>
              <w:tc>
                <w:tcPr>
                  <w:tcW w:w="38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0.06 </w:t>
                  </w:r>
                </w:p>
              </w:tc>
            </w:tr>
            <w:tr>
              <w:tblPrEx>
                <w:tblCellMar>
                  <w:top w:w="0" w:type="dxa"/>
                  <w:left w:w="108" w:type="dxa"/>
                  <w:bottom w:w="0" w:type="dxa"/>
                  <w:right w:w="108" w:type="dxa"/>
                </w:tblCellMar>
              </w:tblPrEx>
              <w:trPr>
                <w:trHeight w:val="285" w:hRule="atLeast"/>
              </w:trPr>
              <w:tc>
                <w:tcPr>
                  <w:tcW w:w="450" w:type="pct"/>
                  <w:tcBorders>
                    <w:top w:val="nil"/>
                    <w:left w:val="single" w:color="auto" w:sz="8" w:space="0"/>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700</w:t>
                  </w:r>
                </w:p>
              </w:tc>
              <w:tc>
                <w:tcPr>
                  <w:tcW w:w="698"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0.20 </w:t>
                  </w:r>
                </w:p>
              </w:tc>
              <w:tc>
                <w:tcPr>
                  <w:tcW w:w="431"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0.10 </w:t>
                  </w:r>
                </w:p>
              </w:tc>
              <w:tc>
                <w:tcPr>
                  <w:tcW w:w="69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0.02 </w:t>
                  </w:r>
                </w:p>
              </w:tc>
              <w:tc>
                <w:tcPr>
                  <w:tcW w:w="387"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0.21 </w:t>
                  </w:r>
                </w:p>
              </w:tc>
              <w:tc>
                <w:tcPr>
                  <w:tcW w:w="72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0.10 </w:t>
                  </w:r>
                </w:p>
              </w:tc>
              <w:tc>
                <w:tcPr>
                  <w:tcW w:w="522"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0.10 </w:t>
                  </w:r>
                </w:p>
              </w:tc>
              <w:tc>
                <w:tcPr>
                  <w:tcW w:w="70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0.01 </w:t>
                  </w:r>
                </w:p>
              </w:tc>
              <w:tc>
                <w:tcPr>
                  <w:tcW w:w="38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0.07 </w:t>
                  </w:r>
                </w:p>
              </w:tc>
            </w:tr>
            <w:tr>
              <w:tblPrEx>
                <w:tblCellMar>
                  <w:top w:w="0" w:type="dxa"/>
                  <w:left w:w="108" w:type="dxa"/>
                  <w:bottom w:w="0" w:type="dxa"/>
                  <w:right w:w="108" w:type="dxa"/>
                </w:tblCellMar>
              </w:tblPrEx>
              <w:trPr>
                <w:trHeight w:val="285" w:hRule="atLeast"/>
              </w:trPr>
              <w:tc>
                <w:tcPr>
                  <w:tcW w:w="450" w:type="pct"/>
                  <w:tcBorders>
                    <w:top w:val="nil"/>
                    <w:left w:val="single" w:color="auto" w:sz="8" w:space="0"/>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800</w:t>
                  </w:r>
                </w:p>
              </w:tc>
              <w:tc>
                <w:tcPr>
                  <w:tcW w:w="698"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0.15 </w:t>
                  </w:r>
                </w:p>
              </w:tc>
              <w:tc>
                <w:tcPr>
                  <w:tcW w:w="431"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0.07 </w:t>
                  </w:r>
                </w:p>
              </w:tc>
              <w:tc>
                <w:tcPr>
                  <w:tcW w:w="69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0.02 </w:t>
                  </w:r>
                </w:p>
              </w:tc>
              <w:tc>
                <w:tcPr>
                  <w:tcW w:w="387"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0.16 </w:t>
                  </w:r>
                </w:p>
              </w:tc>
              <w:tc>
                <w:tcPr>
                  <w:tcW w:w="72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0.05 </w:t>
                  </w:r>
                </w:p>
              </w:tc>
              <w:tc>
                <w:tcPr>
                  <w:tcW w:w="522"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0.05 </w:t>
                  </w:r>
                </w:p>
              </w:tc>
              <w:tc>
                <w:tcPr>
                  <w:tcW w:w="70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38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0.02 </w:t>
                  </w:r>
                </w:p>
              </w:tc>
            </w:tr>
            <w:tr>
              <w:tblPrEx>
                <w:tblCellMar>
                  <w:top w:w="0" w:type="dxa"/>
                  <w:left w:w="108" w:type="dxa"/>
                  <w:bottom w:w="0" w:type="dxa"/>
                  <w:right w:w="108" w:type="dxa"/>
                </w:tblCellMar>
              </w:tblPrEx>
              <w:trPr>
                <w:trHeight w:val="285" w:hRule="atLeast"/>
              </w:trPr>
              <w:tc>
                <w:tcPr>
                  <w:tcW w:w="450" w:type="pct"/>
                  <w:tcBorders>
                    <w:top w:val="nil"/>
                    <w:left w:val="single" w:color="auto" w:sz="8" w:space="0"/>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900</w:t>
                  </w:r>
                </w:p>
              </w:tc>
              <w:tc>
                <w:tcPr>
                  <w:tcW w:w="698"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0.14 </w:t>
                  </w:r>
                </w:p>
              </w:tc>
              <w:tc>
                <w:tcPr>
                  <w:tcW w:w="431"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0.07 </w:t>
                  </w:r>
                </w:p>
              </w:tc>
              <w:tc>
                <w:tcPr>
                  <w:tcW w:w="69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0.01 </w:t>
                  </w:r>
                </w:p>
              </w:tc>
              <w:tc>
                <w:tcPr>
                  <w:tcW w:w="387"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0.14 </w:t>
                  </w:r>
                </w:p>
              </w:tc>
              <w:tc>
                <w:tcPr>
                  <w:tcW w:w="72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0.03 </w:t>
                  </w:r>
                </w:p>
              </w:tc>
              <w:tc>
                <w:tcPr>
                  <w:tcW w:w="522"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0.03 </w:t>
                  </w:r>
                </w:p>
              </w:tc>
              <w:tc>
                <w:tcPr>
                  <w:tcW w:w="70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38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0.01 </w:t>
                  </w:r>
                </w:p>
              </w:tc>
            </w:tr>
            <w:tr>
              <w:tblPrEx>
                <w:tblCellMar>
                  <w:top w:w="0" w:type="dxa"/>
                  <w:left w:w="108" w:type="dxa"/>
                  <w:bottom w:w="0" w:type="dxa"/>
                  <w:right w:w="108" w:type="dxa"/>
                </w:tblCellMar>
              </w:tblPrEx>
              <w:trPr>
                <w:trHeight w:val="285" w:hRule="atLeast"/>
              </w:trPr>
              <w:tc>
                <w:tcPr>
                  <w:tcW w:w="450" w:type="pct"/>
                  <w:tcBorders>
                    <w:top w:val="nil"/>
                    <w:left w:val="single" w:color="auto" w:sz="8" w:space="0"/>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1000</w:t>
                  </w:r>
                </w:p>
              </w:tc>
              <w:tc>
                <w:tcPr>
                  <w:tcW w:w="698"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0.13 </w:t>
                  </w:r>
                </w:p>
              </w:tc>
              <w:tc>
                <w:tcPr>
                  <w:tcW w:w="431"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0.06 </w:t>
                  </w:r>
                </w:p>
              </w:tc>
              <w:tc>
                <w:tcPr>
                  <w:tcW w:w="69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0.01 </w:t>
                  </w:r>
                </w:p>
              </w:tc>
              <w:tc>
                <w:tcPr>
                  <w:tcW w:w="387"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0.13 </w:t>
                  </w:r>
                </w:p>
              </w:tc>
              <w:tc>
                <w:tcPr>
                  <w:tcW w:w="72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0.04 </w:t>
                  </w:r>
                </w:p>
              </w:tc>
              <w:tc>
                <w:tcPr>
                  <w:tcW w:w="522"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0.04 </w:t>
                  </w:r>
                </w:p>
              </w:tc>
              <w:tc>
                <w:tcPr>
                  <w:tcW w:w="70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38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0.04 </w:t>
                  </w:r>
                </w:p>
              </w:tc>
            </w:tr>
            <w:tr>
              <w:tblPrEx>
                <w:tblCellMar>
                  <w:top w:w="0" w:type="dxa"/>
                  <w:left w:w="108" w:type="dxa"/>
                  <w:bottom w:w="0" w:type="dxa"/>
                  <w:right w:w="108" w:type="dxa"/>
                </w:tblCellMar>
              </w:tblPrEx>
              <w:trPr>
                <w:trHeight w:val="285" w:hRule="atLeast"/>
              </w:trPr>
              <w:tc>
                <w:tcPr>
                  <w:tcW w:w="450" w:type="pct"/>
                  <w:tcBorders>
                    <w:top w:val="nil"/>
                    <w:left w:val="single" w:color="auto" w:sz="8" w:space="0"/>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1200</w:t>
                  </w:r>
                </w:p>
              </w:tc>
              <w:tc>
                <w:tcPr>
                  <w:tcW w:w="698"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0.10 </w:t>
                  </w:r>
                </w:p>
              </w:tc>
              <w:tc>
                <w:tcPr>
                  <w:tcW w:w="431"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0.05 </w:t>
                  </w:r>
                </w:p>
              </w:tc>
              <w:tc>
                <w:tcPr>
                  <w:tcW w:w="69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0.01 </w:t>
                  </w:r>
                </w:p>
              </w:tc>
              <w:tc>
                <w:tcPr>
                  <w:tcW w:w="387"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0.11 </w:t>
                  </w:r>
                </w:p>
              </w:tc>
              <w:tc>
                <w:tcPr>
                  <w:tcW w:w="72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0.02 </w:t>
                  </w:r>
                </w:p>
              </w:tc>
              <w:tc>
                <w:tcPr>
                  <w:tcW w:w="522"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0.02 </w:t>
                  </w:r>
                </w:p>
              </w:tc>
              <w:tc>
                <w:tcPr>
                  <w:tcW w:w="70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38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0.04 </w:t>
                  </w:r>
                </w:p>
              </w:tc>
            </w:tr>
            <w:tr>
              <w:tblPrEx>
                <w:tblCellMar>
                  <w:top w:w="0" w:type="dxa"/>
                  <w:left w:w="108" w:type="dxa"/>
                  <w:bottom w:w="0" w:type="dxa"/>
                  <w:right w:w="108" w:type="dxa"/>
                </w:tblCellMar>
              </w:tblPrEx>
              <w:trPr>
                <w:trHeight w:val="285" w:hRule="atLeast"/>
              </w:trPr>
              <w:tc>
                <w:tcPr>
                  <w:tcW w:w="450" w:type="pct"/>
                  <w:tcBorders>
                    <w:top w:val="nil"/>
                    <w:left w:val="single" w:color="auto" w:sz="8" w:space="0"/>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1400</w:t>
                  </w:r>
                </w:p>
              </w:tc>
              <w:tc>
                <w:tcPr>
                  <w:tcW w:w="698"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0.07 </w:t>
                  </w:r>
                </w:p>
              </w:tc>
              <w:tc>
                <w:tcPr>
                  <w:tcW w:w="431"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0.03 </w:t>
                  </w:r>
                </w:p>
              </w:tc>
              <w:tc>
                <w:tcPr>
                  <w:tcW w:w="69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0.01 </w:t>
                  </w:r>
                </w:p>
              </w:tc>
              <w:tc>
                <w:tcPr>
                  <w:tcW w:w="387"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0.07 </w:t>
                  </w:r>
                </w:p>
              </w:tc>
              <w:tc>
                <w:tcPr>
                  <w:tcW w:w="72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0.06 </w:t>
                  </w:r>
                </w:p>
              </w:tc>
              <w:tc>
                <w:tcPr>
                  <w:tcW w:w="522"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0.06 </w:t>
                  </w:r>
                </w:p>
              </w:tc>
              <w:tc>
                <w:tcPr>
                  <w:tcW w:w="70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38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0.01 </w:t>
                  </w:r>
                </w:p>
              </w:tc>
            </w:tr>
            <w:tr>
              <w:tblPrEx>
                <w:tblCellMar>
                  <w:top w:w="0" w:type="dxa"/>
                  <w:left w:w="108" w:type="dxa"/>
                  <w:bottom w:w="0" w:type="dxa"/>
                  <w:right w:w="108" w:type="dxa"/>
                </w:tblCellMar>
              </w:tblPrEx>
              <w:trPr>
                <w:trHeight w:val="285" w:hRule="atLeast"/>
              </w:trPr>
              <w:tc>
                <w:tcPr>
                  <w:tcW w:w="450" w:type="pct"/>
                  <w:tcBorders>
                    <w:top w:val="nil"/>
                    <w:left w:val="single" w:color="auto" w:sz="8" w:space="0"/>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1600</w:t>
                  </w:r>
                </w:p>
              </w:tc>
              <w:tc>
                <w:tcPr>
                  <w:tcW w:w="698"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0.06 </w:t>
                  </w:r>
                </w:p>
              </w:tc>
              <w:tc>
                <w:tcPr>
                  <w:tcW w:w="431"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0.03 </w:t>
                  </w:r>
                </w:p>
              </w:tc>
              <w:tc>
                <w:tcPr>
                  <w:tcW w:w="69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0.01 </w:t>
                  </w:r>
                </w:p>
              </w:tc>
              <w:tc>
                <w:tcPr>
                  <w:tcW w:w="387"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0.06 </w:t>
                  </w:r>
                </w:p>
              </w:tc>
              <w:tc>
                <w:tcPr>
                  <w:tcW w:w="72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0.03 </w:t>
                  </w:r>
                </w:p>
              </w:tc>
              <w:tc>
                <w:tcPr>
                  <w:tcW w:w="522"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0.03 </w:t>
                  </w:r>
                </w:p>
              </w:tc>
              <w:tc>
                <w:tcPr>
                  <w:tcW w:w="70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38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0.01 </w:t>
                  </w:r>
                </w:p>
              </w:tc>
            </w:tr>
            <w:tr>
              <w:tblPrEx>
                <w:tblCellMar>
                  <w:top w:w="0" w:type="dxa"/>
                  <w:left w:w="108" w:type="dxa"/>
                  <w:bottom w:w="0" w:type="dxa"/>
                  <w:right w:w="108" w:type="dxa"/>
                </w:tblCellMar>
              </w:tblPrEx>
              <w:trPr>
                <w:trHeight w:val="285" w:hRule="atLeast"/>
              </w:trPr>
              <w:tc>
                <w:tcPr>
                  <w:tcW w:w="450" w:type="pct"/>
                  <w:tcBorders>
                    <w:top w:val="nil"/>
                    <w:left w:val="single" w:color="auto" w:sz="8" w:space="0"/>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1800</w:t>
                  </w:r>
                </w:p>
              </w:tc>
              <w:tc>
                <w:tcPr>
                  <w:tcW w:w="698"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0.06 </w:t>
                  </w:r>
                </w:p>
              </w:tc>
              <w:tc>
                <w:tcPr>
                  <w:tcW w:w="431"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0.03 </w:t>
                  </w:r>
                </w:p>
              </w:tc>
              <w:tc>
                <w:tcPr>
                  <w:tcW w:w="69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0.01 </w:t>
                  </w:r>
                </w:p>
              </w:tc>
              <w:tc>
                <w:tcPr>
                  <w:tcW w:w="387"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0.07 </w:t>
                  </w:r>
                </w:p>
              </w:tc>
              <w:tc>
                <w:tcPr>
                  <w:tcW w:w="72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0.07 </w:t>
                  </w:r>
                </w:p>
              </w:tc>
              <w:tc>
                <w:tcPr>
                  <w:tcW w:w="522"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0.07 </w:t>
                  </w:r>
                </w:p>
              </w:tc>
              <w:tc>
                <w:tcPr>
                  <w:tcW w:w="70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38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0.02 </w:t>
                  </w:r>
                </w:p>
              </w:tc>
            </w:tr>
            <w:tr>
              <w:tblPrEx>
                <w:tblCellMar>
                  <w:top w:w="0" w:type="dxa"/>
                  <w:left w:w="108" w:type="dxa"/>
                  <w:bottom w:w="0" w:type="dxa"/>
                  <w:right w:w="108" w:type="dxa"/>
                </w:tblCellMar>
              </w:tblPrEx>
              <w:trPr>
                <w:trHeight w:val="285" w:hRule="atLeast"/>
              </w:trPr>
              <w:tc>
                <w:tcPr>
                  <w:tcW w:w="450" w:type="pct"/>
                  <w:tcBorders>
                    <w:top w:val="nil"/>
                    <w:left w:val="single" w:color="auto" w:sz="8" w:space="0"/>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2000</w:t>
                  </w:r>
                </w:p>
              </w:tc>
              <w:tc>
                <w:tcPr>
                  <w:tcW w:w="698"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0.05 </w:t>
                  </w:r>
                </w:p>
              </w:tc>
              <w:tc>
                <w:tcPr>
                  <w:tcW w:w="431"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0.02 </w:t>
                  </w:r>
                </w:p>
              </w:tc>
              <w:tc>
                <w:tcPr>
                  <w:tcW w:w="69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0.01 </w:t>
                  </w:r>
                </w:p>
              </w:tc>
              <w:tc>
                <w:tcPr>
                  <w:tcW w:w="387"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0.05 </w:t>
                  </w:r>
                </w:p>
              </w:tc>
              <w:tc>
                <w:tcPr>
                  <w:tcW w:w="72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0.03 </w:t>
                  </w:r>
                </w:p>
              </w:tc>
              <w:tc>
                <w:tcPr>
                  <w:tcW w:w="522"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0.03 </w:t>
                  </w:r>
                </w:p>
              </w:tc>
              <w:tc>
                <w:tcPr>
                  <w:tcW w:w="70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38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0.02 </w:t>
                  </w:r>
                </w:p>
              </w:tc>
            </w:tr>
            <w:tr>
              <w:tblPrEx>
                <w:tblCellMar>
                  <w:top w:w="0" w:type="dxa"/>
                  <w:left w:w="108" w:type="dxa"/>
                  <w:bottom w:w="0" w:type="dxa"/>
                  <w:right w:w="108" w:type="dxa"/>
                </w:tblCellMar>
              </w:tblPrEx>
              <w:trPr>
                <w:trHeight w:val="285" w:hRule="atLeast"/>
              </w:trPr>
              <w:tc>
                <w:tcPr>
                  <w:tcW w:w="450" w:type="pct"/>
                  <w:tcBorders>
                    <w:top w:val="nil"/>
                    <w:left w:val="single" w:color="auto" w:sz="8" w:space="0"/>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2500</w:t>
                  </w:r>
                </w:p>
              </w:tc>
              <w:tc>
                <w:tcPr>
                  <w:tcW w:w="698"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0.04 </w:t>
                  </w:r>
                </w:p>
              </w:tc>
              <w:tc>
                <w:tcPr>
                  <w:tcW w:w="431"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0.02 </w:t>
                  </w:r>
                </w:p>
              </w:tc>
              <w:tc>
                <w:tcPr>
                  <w:tcW w:w="69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387"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0.04 </w:t>
                  </w:r>
                </w:p>
              </w:tc>
              <w:tc>
                <w:tcPr>
                  <w:tcW w:w="72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0.02 </w:t>
                  </w:r>
                </w:p>
              </w:tc>
              <w:tc>
                <w:tcPr>
                  <w:tcW w:w="522"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0.02 </w:t>
                  </w:r>
                </w:p>
              </w:tc>
              <w:tc>
                <w:tcPr>
                  <w:tcW w:w="70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38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0.01 </w:t>
                  </w:r>
                </w:p>
              </w:tc>
            </w:tr>
            <w:tr>
              <w:tblPrEx>
                <w:tblCellMar>
                  <w:top w:w="0" w:type="dxa"/>
                  <w:left w:w="108" w:type="dxa"/>
                  <w:bottom w:w="0" w:type="dxa"/>
                  <w:right w:w="108" w:type="dxa"/>
                </w:tblCellMar>
              </w:tblPrEx>
              <w:trPr>
                <w:trHeight w:val="285" w:hRule="atLeast"/>
              </w:trPr>
              <w:tc>
                <w:tcPr>
                  <w:tcW w:w="450" w:type="pct"/>
                  <w:tcBorders>
                    <w:top w:val="nil"/>
                    <w:left w:val="single" w:color="auto" w:sz="8" w:space="0"/>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3000</w:t>
                  </w:r>
                </w:p>
              </w:tc>
              <w:tc>
                <w:tcPr>
                  <w:tcW w:w="698"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0.03 </w:t>
                  </w:r>
                </w:p>
              </w:tc>
              <w:tc>
                <w:tcPr>
                  <w:tcW w:w="431"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0.02 </w:t>
                  </w:r>
                </w:p>
              </w:tc>
              <w:tc>
                <w:tcPr>
                  <w:tcW w:w="69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387"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0.03 </w:t>
                  </w:r>
                </w:p>
              </w:tc>
              <w:tc>
                <w:tcPr>
                  <w:tcW w:w="72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0.01 </w:t>
                  </w:r>
                </w:p>
              </w:tc>
              <w:tc>
                <w:tcPr>
                  <w:tcW w:w="522"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0.01 </w:t>
                  </w:r>
                </w:p>
              </w:tc>
              <w:tc>
                <w:tcPr>
                  <w:tcW w:w="70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38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r>
            <w:tr>
              <w:tblPrEx>
                <w:tblCellMar>
                  <w:top w:w="0" w:type="dxa"/>
                  <w:left w:w="108" w:type="dxa"/>
                  <w:bottom w:w="0" w:type="dxa"/>
                  <w:right w:w="108" w:type="dxa"/>
                </w:tblCellMar>
              </w:tblPrEx>
              <w:trPr>
                <w:trHeight w:val="285" w:hRule="atLeast"/>
              </w:trPr>
              <w:tc>
                <w:tcPr>
                  <w:tcW w:w="450" w:type="pct"/>
                  <w:tcBorders>
                    <w:top w:val="nil"/>
                    <w:left w:val="single" w:color="auto" w:sz="8" w:space="0"/>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3500</w:t>
                  </w:r>
                </w:p>
              </w:tc>
              <w:tc>
                <w:tcPr>
                  <w:tcW w:w="698"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0.02 </w:t>
                  </w:r>
                </w:p>
              </w:tc>
              <w:tc>
                <w:tcPr>
                  <w:tcW w:w="431"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0.01 </w:t>
                  </w:r>
                </w:p>
              </w:tc>
              <w:tc>
                <w:tcPr>
                  <w:tcW w:w="69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387"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0.02 </w:t>
                  </w:r>
                </w:p>
              </w:tc>
              <w:tc>
                <w:tcPr>
                  <w:tcW w:w="72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0.01 </w:t>
                  </w:r>
                </w:p>
              </w:tc>
              <w:tc>
                <w:tcPr>
                  <w:tcW w:w="522"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0.01 </w:t>
                  </w:r>
                </w:p>
              </w:tc>
              <w:tc>
                <w:tcPr>
                  <w:tcW w:w="70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38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0.01 </w:t>
                  </w:r>
                </w:p>
              </w:tc>
            </w:tr>
            <w:tr>
              <w:tblPrEx>
                <w:tblCellMar>
                  <w:top w:w="0" w:type="dxa"/>
                  <w:left w:w="108" w:type="dxa"/>
                  <w:bottom w:w="0" w:type="dxa"/>
                  <w:right w:w="108" w:type="dxa"/>
                </w:tblCellMar>
              </w:tblPrEx>
              <w:trPr>
                <w:trHeight w:val="285" w:hRule="atLeast"/>
              </w:trPr>
              <w:tc>
                <w:tcPr>
                  <w:tcW w:w="450" w:type="pct"/>
                  <w:tcBorders>
                    <w:top w:val="nil"/>
                    <w:left w:val="single" w:color="auto" w:sz="8" w:space="0"/>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4000</w:t>
                  </w:r>
                </w:p>
              </w:tc>
              <w:tc>
                <w:tcPr>
                  <w:tcW w:w="698"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0.02 </w:t>
                  </w:r>
                </w:p>
              </w:tc>
              <w:tc>
                <w:tcPr>
                  <w:tcW w:w="431"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0.01 </w:t>
                  </w:r>
                </w:p>
              </w:tc>
              <w:tc>
                <w:tcPr>
                  <w:tcW w:w="69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387"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0.02 </w:t>
                  </w:r>
                </w:p>
              </w:tc>
              <w:tc>
                <w:tcPr>
                  <w:tcW w:w="72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0.01 </w:t>
                  </w:r>
                </w:p>
              </w:tc>
              <w:tc>
                <w:tcPr>
                  <w:tcW w:w="522"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0.01 </w:t>
                  </w:r>
                </w:p>
              </w:tc>
              <w:tc>
                <w:tcPr>
                  <w:tcW w:w="70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38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0.01 </w:t>
                  </w:r>
                </w:p>
              </w:tc>
            </w:tr>
            <w:tr>
              <w:tblPrEx>
                <w:tblCellMar>
                  <w:top w:w="0" w:type="dxa"/>
                  <w:left w:w="108" w:type="dxa"/>
                  <w:bottom w:w="0" w:type="dxa"/>
                  <w:right w:w="108" w:type="dxa"/>
                </w:tblCellMar>
              </w:tblPrEx>
              <w:trPr>
                <w:trHeight w:val="285" w:hRule="atLeast"/>
              </w:trPr>
              <w:tc>
                <w:tcPr>
                  <w:tcW w:w="450" w:type="pct"/>
                  <w:tcBorders>
                    <w:top w:val="nil"/>
                    <w:left w:val="single" w:color="auto" w:sz="8" w:space="0"/>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4500</w:t>
                  </w:r>
                </w:p>
              </w:tc>
              <w:tc>
                <w:tcPr>
                  <w:tcW w:w="698"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0.02 </w:t>
                  </w:r>
                </w:p>
              </w:tc>
              <w:tc>
                <w:tcPr>
                  <w:tcW w:w="431"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0.01 </w:t>
                  </w:r>
                </w:p>
              </w:tc>
              <w:tc>
                <w:tcPr>
                  <w:tcW w:w="69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387"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0.02 </w:t>
                  </w:r>
                </w:p>
              </w:tc>
              <w:tc>
                <w:tcPr>
                  <w:tcW w:w="72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0.04 </w:t>
                  </w:r>
                </w:p>
              </w:tc>
              <w:tc>
                <w:tcPr>
                  <w:tcW w:w="522"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0.04 </w:t>
                  </w:r>
                </w:p>
              </w:tc>
              <w:tc>
                <w:tcPr>
                  <w:tcW w:w="70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38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r>
            <w:tr>
              <w:tblPrEx>
                <w:tblCellMar>
                  <w:top w:w="0" w:type="dxa"/>
                  <w:left w:w="108" w:type="dxa"/>
                  <w:bottom w:w="0" w:type="dxa"/>
                  <w:right w:w="108" w:type="dxa"/>
                </w:tblCellMar>
              </w:tblPrEx>
              <w:trPr>
                <w:trHeight w:val="285" w:hRule="atLeast"/>
              </w:trPr>
              <w:tc>
                <w:tcPr>
                  <w:tcW w:w="450" w:type="pct"/>
                  <w:tcBorders>
                    <w:top w:val="nil"/>
                    <w:left w:val="single" w:color="auto" w:sz="8" w:space="0"/>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5000</w:t>
                  </w:r>
                </w:p>
              </w:tc>
              <w:tc>
                <w:tcPr>
                  <w:tcW w:w="698"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0.02 </w:t>
                  </w:r>
                </w:p>
              </w:tc>
              <w:tc>
                <w:tcPr>
                  <w:tcW w:w="431"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0.01 </w:t>
                  </w:r>
                </w:p>
              </w:tc>
              <w:tc>
                <w:tcPr>
                  <w:tcW w:w="69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387"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0.02 </w:t>
                  </w:r>
                </w:p>
              </w:tc>
              <w:tc>
                <w:tcPr>
                  <w:tcW w:w="72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0.02 </w:t>
                  </w:r>
                </w:p>
              </w:tc>
              <w:tc>
                <w:tcPr>
                  <w:tcW w:w="522"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0.02 </w:t>
                  </w:r>
                </w:p>
              </w:tc>
              <w:tc>
                <w:tcPr>
                  <w:tcW w:w="70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38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0.01 </w:t>
                  </w:r>
                </w:p>
              </w:tc>
            </w:tr>
            <w:tr>
              <w:tblPrEx>
                <w:tblCellMar>
                  <w:top w:w="0" w:type="dxa"/>
                  <w:left w:w="108" w:type="dxa"/>
                  <w:bottom w:w="0" w:type="dxa"/>
                  <w:right w:w="108" w:type="dxa"/>
                </w:tblCellMar>
              </w:tblPrEx>
              <w:trPr>
                <w:trHeight w:val="285" w:hRule="atLeast"/>
              </w:trPr>
              <w:tc>
                <w:tcPr>
                  <w:tcW w:w="450" w:type="pct"/>
                  <w:tcBorders>
                    <w:top w:val="nil"/>
                    <w:left w:val="single" w:color="auto" w:sz="8" w:space="0"/>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10000</w:t>
                  </w:r>
                </w:p>
              </w:tc>
              <w:tc>
                <w:tcPr>
                  <w:tcW w:w="698"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0.01 </w:t>
                  </w:r>
                </w:p>
              </w:tc>
              <w:tc>
                <w:tcPr>
                  <w:tcW w:w="431"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69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387"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0.01 </w:t>
                  </w:r>
                </w:p>
              </w:tc>
              <w:tc>
                <w:tcPr>
                  <w:tcW w:w="72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0.03 </w:t>
                  </w:r>
                </w:p>
              </w:tc>
              <w:tc>
                <w:tcPr>
                  <w:tcW w:w="522"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0.03 </w:t>
                  </w:r>
                </w:p>
              </w:tc>
              <w:tc>
                <w:tcPr>
                  <w:tcW w:w="70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38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r>
            <w:tr>
              <w:tblPrEx>
                <w:tblCellMar>
                  <w:top w:w="0" w:type="dxa"/>
                  <w:left w:w="108" w:type="dxa"/>
                  <w:bottom w:w="0" w:type="dxa"/>
                  <w:right w:w="108" w:type="dxa"/>
                </w:tblCellMar>
              </w:tblPrEx>
              <w:trPr>
                <w:trHeight w:val="285" w:hRule="atLeast"/>
              </w:trPr>
              <w:tc>
                <w:tcPr>
                  <w:tcW w:w="450" w:type="pct"/>
                  <w:tcBorders>
                    <w:top w:val="nil"/>
                    <w:left w:val="single" w:color="auto" w:sz="8" w:space="0"/>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11000</w:t>
                  </w:r>
                </w:p>
              </w:tc>
              <w:tc>
                <w:tcPr>
                  <w:tcW w:w="698"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0.01 </w:t>
                  </w:r>
                </w:p>
              </w:tc>
              <w:tc>
                <w:tcPr>
                  <w:tcW w:w="431"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69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387"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0.01 </w:t>
                  </w:r>
                </w:p>
              </w:tc>
              <w:tc>
                <w:tcPr>
                  <w:tcW w:w="72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0.02 </w:t>
                  </w:r>
                </w:p>
              </w:tc>
              <w:tc>
                <w:tcPr>
                  <w:tcW w:w="522"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0.02 </w:t>
                  </w:r>
                </w:p>
              </w:tc>
              <w:tc>
                <w:tcPr>
                  <w:tcW w:w="70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38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r>
            <w:tr>
              <w:tblPrEx>
                <w:tblCellMar>
                  <w:top w:w="0" w:type="dxa"/>
                  <w:left w:w="108" w:type="dxa"/>
                  <w:bottom w:w="0" w:type="dxa"/>
                  <w:right w:w="108" w:type="dxa"/>
                </w:tblCellMar>
              </w:tblPrEx>
              <w:trPr>
                <w:trHeight w:val="285" w:hRule="atLeast"/>
              </w:trPr>
              <w:tc>
                <w:tcPr>
                  <w:tcW w:w="450" w:type="pct"/>
                  <w:tcBorders>
                    <w:top w:val="nil"/>
                    <w:left w:val="single" w:color="auto" w:sz="8" w:space="0"/>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12000</w:t>
                  </w:r>
                </w:p>
              </w:tc>
              <w:tc>
                <w:tcPr>
                  <w:tcW w:w="698"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0.01 </w:t>
                  </w:r>
                </w:p>
              </w:tc>
              <w:tc>
                <w:tcPr>
                  <w:tcW w:w="431"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69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387"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0.01 </w:t>
                  </w:r>
                </w:p>
              </w:tc>
              <w:tc>
                <w:tcPr>
                  <w:tcW w:w="72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0.01 </w:t>
                  </w:r>
                </w:p>
              </w:tc>
              <w:tc>
                <w:tcPr>
                  <w:tcW w:w="522"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0.01 </w:t>
                  </w:r>
                </w:p>
              </w:tc>
              <w:tc>
                <w:tcPr>
                  <w:tcW w:w="70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38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r>
            <w:tr>
              <w:tblPrEx>
                <w:tblCellMar>
                  <w:top w:w="0" w:type="dxa"/>
                  <w:left w:w="108" w:type="dxa"/>
                  <w:bottom w:w="0" w:type="dxa"/>
                  <w:right w:w="108" w:type="dxa"/>
                </w:tblCellMar>
              </w:tblPrEx>
              <w:trPr>
                <w:trHeight w:val="285" w:hRule="atLeast"/>
              </w:trPr>
              <w:tc>
                <w:tcPr>
                  <w:tcW w:w="450" w:type="pct"/>
                  <w:tcBorders>
                    <w:top w:val="nil"/>
                    <w:left w:val="single" w:color="auto" w:sz="8" w:space="0"/>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13000</w:t>
                  </w:r>
                </w:p>
              </w:tc>
              <w:tc>
                <w:tcPr>
                  <w:tcW w:w="698"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431"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69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387"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72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0.01 </w:t>
                  </w:r>
                </w:p>
              </w:tc>
              <w:tc>
                <w:tcPr>
                  <w:tcW w:w="522"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0.01 </w:t>
                  </w:r>
                </w:p>
              </w:tc>
              <w:tc>
                <w:tcPr>
                  <w:tcW w:w="70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38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r>
            <w:tr>
              <w:tblPrEx>
                <w:tblCellMar>
                  <w:top w:w="0" w:type="dxa"/>
                  <w:left w:w="108" w:type="dxa"/>
                  <w:bottom w:w="0" w:type="dxa"/>
                  <w:right w:w="108" w:type="dxa"/>
                </w:tblCellMar>
              </w:tblPrEx>
              <w:trPr>
                <w:trHeight w:val="285" w:hRule="atLeast"/>
              </w:trPr>
              <w:tc>
                <w:tcPr>
                  <w:tcW w:w="450" w:type="pct"/>
                  <w:tcBorders>
                    <w:top w:val="nil"/>
                    <w:left w:val="single" w:color="auto" w:sz="8" w:space="0"/>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14000</w:t>
                  </w:r>
                </w:p>
              </w:tc>
              <w:tc>
                <w:tcPr>
                  <w:tcW w:w="698"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431"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69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387"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72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0.01 </w:t>
                  </w:r>
                </w:p>
              </w:tc>
              <w:tc>
                <w:tcPr>
                  <w:tcW w:w="522"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0.01 </w:t>
                  </w:r>
                </w:p>
              </w:tc>
              <w:tc>
                <w:tcPr>
                  <w:tcW w:w="70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38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r>
            <w:tr>
              <w:tblPrEx>
                <w:tblCellMar>
                  <w:top w:w="0" w:type="dxa"/>
                  <w:left w:w="108" w:type="dxa"/>
                  <w:bottom w:w="0" w:type="dxa"/>
                  <w:right w:w="108" w:type="dxa"/>
                </w:tblCellMar>
              </w:tblPrEx>
              <w:trPr>
                <w:trHeight w:val="285" w:hRule="atLeast"/>
              </w:trPr>
              <w:tc>
                <w:tcPr>
                  <w:tcW w:w="450" w:type="pct"/>
                  <w:tcBorders>
                    <w:top w:val="nil"/>
                    <w:left w:val="single" w:color="auto" w:sz="8" w:space="0"/>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15000</w:t>
                  </w:r>
                </w:p>
              </w:tc>
              <w:tc>
                <w:tcPr>
                  <w:tcW w:w="698"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431"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69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387"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72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522"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70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38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r>
            <w:tr>
              <w:tblPrEx>
                <w:tblCellMar>
                  <w:top w:w="0" w:type="dxa"/>
                  <w:left w:w="108" w:type="dxa"/>
                  <w:bottom w:w="0" w:type="dxa"/>
                  <w:right w:w="108" w:type="dxa"/>
                </w:tblCellMar>
              </w:tblPrEx>
              <w:trPr>
                <w:trHeight w:val="285" w:hRule="atLeast"/>
              </w:trPr>
              <w:tc>
                <w:tcPr>
                  <w:tcW w:w="450" w:type="pct"/>
                  <w:tcBorders>
                    <w:top w:val="nil"/>
                    <w:left w:val="single" w:color="auto" w:sz="8" w:space="0"/>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20000</w:t>
                  </w:r>
                </w:p>
              </w:tc>
              <w:tc>
                <w:tcPr>
                  <w:tcW w:w="698"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431"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69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387"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72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0.02 </w:t>
                  </w:r>
                </w:p>
              </w:tc>
              <w:tc>
                <w:tcPr>
                  <w:tcW w:w="522"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0.02 </w:t>
                  </w:r>
                </w:p>
              </w:tc>
              <w:tc>
                <w:tcPr>
                  <w:tcW w:w="70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38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r>
            <w:tr>
              <w:tblPrEx>
                <w:tblCellMar>
                  <w:top w:w="0" w:type="dxa"/>
                  <w:left w:w="108" w:type="dxa"/>
                  <w:bottom w:w="0" w:type="dxa"/>
                  <w:right w:w="108" w:type="dxa"/>
                </w:tblCellMar>
              </w:tblPrEx>
              <w:trPr>
                <w:trHeight w:val="285" w:hRule="atLeast"/>
              </w:trPr>
              <w:tc>
                <w:tcPr>
                  <w:tcW w:w="450" w:type="pct"/>
                  <w:tcBorders>
                    <w:top w:val="nil"/>
                    <w:left w:val="single" w:color="auto" w:sz="8" w:space="0"/>
                    <w:bottom w:val="single" w:color="auto" w:sz="8" w:space="0"/>
                    <w:right w:val="single" w:color="auto" w:sz="8" w:space="0"/>
                  </w:tcBorders>
                  <w:shd w:val="clear" w:color="auto" w:fill="auto"/>
                  <w:vAlign w:val="center"/>
                </w:tcPr>
                <w:p>
                  <w:pPr>
                    <w:widowControl/>
                    <w:adjustRightInd/>
                    <w:spacing w:line="240" w:lineRule="auto"/>
                    <w:textAlignment w:val="auto"/>
                    <w:rPr>
                      <w:szCs w:val="21"/>
                    </w:rPr>
                  </w:pPr>
                  <w:r>
                    <w:rPr>
                      <w:szCs w:val="21"/>
                    </w:rPr>
                    <w:t>25000</w:t>
                  </w:r>
                </w:p>
              </w:tc>
              <w:tc>
                <w:tcPr>
                  <w:tcW w:w="698"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431"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69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387"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72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0.01 </w:t>
                  </w:r>
                </w:p>
              </w:tc>
              <w:tc>
                <w:tcPr>
                  <w:tcW w:w="522"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0.01 </w:t>
                  </w:r>
                </w:p>
              </w:tc>
              <w:tc>
                <w:tcPr>
                  <w:tcW w:w="70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c>
                <w:tcPr>
                  <w:tcW w:w="38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0.00 </w:t>
                  </w:r>
                </w:p>
              </w:tc>
            </w:tr>
            <w:tr>
              <w:tblPrEx>
                <w:tblCellMar>
                  <w:top w:w="0" w:type="dxa"/>
                  <w:left w:w="108" w:type="dxa"/>
                  <w:bottom w:w="0" w:type="dxa"/>
                  <w:right w:w="108" w:type="dxa"/>
                </w:tblCellMar>
              </w:tblPrEx>
              <w:trPr>
                <w:trHeight w:val="525" w:hRule="atLeast"/>
              </w:trPr>
              <w:tc>
                <w:tcPr>
                  <w:tcW w:w="450" w:type="pct"/>
                  <w:tcBorders>
                    <w:top w:val="nil"/>
                    <w:left w:val="single" w:color="auto" w:sz="8" w:space="0"/>
                    <w:bottom w:val="single" w:color="auto" w:sz="8" w:space="0"/>
                    <w:right w:val="single" w:color="auto" w:sz="8" w:space="0"/>
                  </w:tcBorders>
                  <w:shd w:val="clear" w:color="auto" w:fill="auto"/>
                  <w:vAlign w:val="center"/>
                </w:tcPr>
                <w:p>
                  <w:pPr>
                    <w:widowControl/>
                    <w:adjustRightInd/>
                    <w:spacing w:line="200" w:lineRule="exact"/>
                    <w:jc w:val="center"/>
                    <w:textAlignment w:val="auto"/>
                    <w:rPr>
                      <w:rFonts w:cs="宋体"/>
                      <w:szCs w:val="21"/>
                    </w:rPr>
                  </w:pPr>
                  <w:r>
                    <w:rPr>
                      <w:rFonts w:hint="eastAsia" w:cs="宋体"/>
                      <w:szCs w:val="21"/>
                    </w:rPr>
                    <w:t>下风向最大浓度</w:t>
                  </w:r>
                </w:p>
              </w:tc>
              <w:tc>
                <w:tcPr>
                  <w:tcW w:w="698"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1.35 </w:t>
                  </w:r>
                </w:p>
              </w:tc>
              <w:tc>
                <w:tcPr>
                  <w:tcW w:w="431"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0.68 </w:t>
                  </w:r>
                </w:p>
              </w:tc>
              <w:tc>
                <w:tcPr>
                  <w:tcW w:w="69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0.14 </w:t>
                  </w:r>
                </w:p>
              </w:tc>
              <w:tc>
                <w:tcPr>
                  <w:tcW w:w="387"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0.98 </w:t>
                  </w:r>
                </w:p>
              </w:tc>
              <w:tc>
                <w:tcPr>
                  <w:tcW w:w="72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0.82 </w:t>
                  </w:r>
                </w:p>
              </w:tc>
              <w:tc>
                <w:tcPr>
                  <w:tcW w:w="522"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0.41 </w:t>
                  </w:r>
                </w:p>
              </w:tc>
              <w:tc>
                <w:tcPr>
                  <w:tcW w:w="70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0.09 </w:t>
                  </w:r>
                </w:p>
              </w:tc>
              <w:tc>
                <w:tcPr>
                  <w:tcW w:w="38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 xml:space="preserve">0.89 </w:t>
                  </w:r>
                </w:p>
              </w:tc>
            </w:tr>
            <w:tr>
              <w:tblPrEx>
                <w:tblCellMar>
                  <w:top w:w="0" w:type="dxa"/>
                  <w:left w:w="108" w:type="dxa"/>
                  <w:bottom w:w="0" w:type="dxa"/>
                  <w:right w:w="108" w:type="dxa"/>
                </w:tblCellMar>
              </w:tblPrEx>
              <w:trPr>
                <w:trHeight w:val="780" w:hRule="atLeast"/>
              </w:trPr>
              <w:tc>
                <w:tcPr>
                  <w:tcW w:w="450" w:type="pct"/>
                  <w:tcBorders>
                    <w:top w:val="nil"/>
                    <w:left w:val="single" w:color="auto" w:sz="8" w:space="0"/>
                    <w:bottom w:val="single" w:color="auto" w:sz="8" w:space="0"/>
                    <w:right w:val="single" w:color="auto" w:sz="8" w:space="0"/>
                  </w:tcBorders>
                  <w:shd w:val="clear" w:color="auto" w:fill="auto"/>
                  <w:vAlign w:val="center"/>
                </w:tcPr>
                <w:p>
                  <w:pPr>
                    <w:widowControl/>
                    <w:adjustRightInd/>
                    <w:spacing w:line="200" w:lineRule="exact"/>
                    <w:jc w:val="center"/>
                    <w:textAlignment w:val="auto"/>
                    <w:rPr>
                      <w:rFonts w:cs="宋体"/>
                      <w:szCs w:val="21"/>
                    </w:rPr>
                  </w:pPr>
                  <w:r>
                    <w:rPr>
                      <w:rFonts w:hint="eastAsia" w:cs="宋体"/>
                      <w:szCs w:val="21"/>
                    </w:rPr>
                    <w:t>下风向最大浓度出现距离</w:t>
                  </w:r>
                </w:p>
              </w:tc>
              <w:tc>
                <w:tcPr>
                  <w:tcW w:w="698"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156</w:t>
                  </w:r>
                </w:p>
              </w:tc>
              <w:tc>
                <w:tcPr>
                  <w:tcW w:w="431"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156</w:t>
                  </w:r>
                </w:p>
              </w:tc>
              <w:tc>
                <w:tcPr>
                  <w:tcW w:w="69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156</w:t>
                  </w:r>
                </w:p>
              </w:tc>
              <w:tc>
                <w:tcPr>
                  <w:tcW w:w="387"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156</w:t>
                  </w:r>
                </w:p>
              </w:tc>
              <w:tc>
                <w:tcPr>
                  <w:tcW w:w="72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99</w:t>
                  </w:r>
                </w:p>
              </w:tc>
              <w:tc>
                <w:tcPr>
                  <w:tcW w:w="522"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99</w:t>
                  </w:r>
                </w:p>
              </w:tc>
              <w:tc>
                <w:tcPr>
                  <w:tcW w:w="70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99</w:t>
                  </w:r>
                </w:p>
              </w:tc>
              <w:tc>
                <w:tcPr>
                  <w:tcW w:w="38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99</w:t>
                  </w:r>
                </w:p>
              </w:tc>
            </w:tr>
            <w:tr>
              <w:tblPrEx>
                <w:tblCellMar>
                  <w:top w:w="0" w:type="dxa"/>
                  <w:left w:w="108" w:type="dxa"/>
                  <w:bottom w:w="0" w:type="dxa"/>
                  <w:right w:w="108" w:type="dxa"/>
                </w:tblCellMar>
              </w:tblPrEx>
              <w:trPr>
                <w:trHeight w:val="540" w:hRule="atLeast"/>
              </w:trPr>
              <w:tc>
                <w:tcPr>
                  <w:tcW w:w="450" w:type="pct"/>
                  <w:tcBorders>
                    <w:top w:val="nil"/>
                    <w:left w:val="single" w:color="auto" w:sz="8" w:space="0"/>
                    <w:bottom w:val="single" w:color="auto" w:sz="8" w:space="0"/>
                    <w:right w:val="single" w:color="auto" w:sz="8" w:space="0"/>
                  </w:tcBorders>
                  <w:shd w:val="clear" w:color="auto" w:fill="auto"/>
                  <w:vAlign w:val="center"/>
                </w:tcPr>
                <w:p>
                  <w:pPr>
                    <w:widowControl/>
                    <w:adjustRightInd/>
                    <w:spacing w:line="200" w:lineRule="exact"/>
                    <w:jc w:val="center"/>
                    <w:textAlignment w:val="auto"/>
                    <w:rPr>
                      <w:szCs w:val="21"/>
                    </w:rPr>
                  </w:pPr>
                  <w:r>
                    <w:rPr>
                      <w:szCs w:val="21"/>
                    </w:rPr>
                    <w:t>D</w:t>
                  </w:r>
                  <w:r>
                    <w:rPr>
                      <w:szCs w:val="21"/>
                      <w:vertAlign w:val="subscript"/>
                    </w:rPr>
                    <w:t>10%</w:t>
                  </w:r>
                  <w:r>
                    <w:rPr>
                      <w:szCs w:val="21"/>
                    </w:rPr>
                    <w:t>最远距离</w:t>
                  </w:r>
                </w:p>
              </w:tc>
              <w:tc>
                <w:tcPr>
                  <w:tcW w:w="698"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w:t>
                  </w:r>
                </w:p>
              </w:tc>
              <w:tc>
                <w:tcPr>
                  <w:tcW w:w="431"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w:t>
                  </w:r>
                </w:p>
              </w:tc>
              <w:tc>
                <w:tcPr>
                  <w:tcW w:w="69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w:t>
                  </w:r>
                </w:p>
              </w:tc>
              <w:tc>
                <w:tcPr>
                  <w:tcW w:w="387"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w:t>
                  </w:r>
                </w:p>
              </w:tc>
              <w:tc>
                <w:tcPr>
                  <w:tcW w:w="72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w:t>
                  </w:r>
                </w:p>
              </w:tc>
              <w:tc>
                <w:tcPr>
                  <w:tcW w:w="522"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w:t>
                  </w:r>
                </w:p>
              </w:tc>
              <w:tc>
                <w:tcPr>
                  <w:tcW w:w="705"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w:t>
                  </w:r>
                </w:p>
              </w:tc>
              <w:tc>
                <w:tcPr>
                  <w:tcW w:w="386" w:type="pct"/>
                  <w:tcBorders>
                    <w:top w:val="nil"/>
                    <w:left w:val="nil"/>
                    <w:bottom w:val="single" w:color="auto" w:sz="8" w:space="0"/>
                    <w:right w:val="single" w:color="auto" w:sz="8" w:space="0"/>
                  </w:tcBorders>
                  <w:shd w:val="clear" w:color="auto" w:fill="auto"/>
                  <w:vAlign w:val="center"/>
                </w:tcPr>
                <w:p>
                  <w:pPr>
                    <w:widowControl/>
                    <w:adjustRightInd/>
                    <w:spacing w:line="240" w:lineRule="auto"/>
                    <w:jc w:val="center"/>
                    <w:textAlignment w:val="auto"/>
                    <w:rPr>
                      <w:szCs w:val="21"/>
                    </w:rPr>
                  </w:pPr>
                  <w:r>
                    <w:rPr>
                      <w:szCs w:val="21"/>
                    </w:rPr>
                    <w:t>/</w:t>
                  </w:r>
                </w:p>
              </w:tc>
            </w:tr>
          </w:tbl>
          <w:p>
            <w:pPr>
              <w:adjustRightInd/>
              <w:spacing w:line="360" w:lineRule="auto"/>
              <w:ind w:firstLine="422" w:firstLineChars="176"/>
              <w:jc w:val="left"/>
              <w:textAlignment w:val="auto"/>
              <w:rPr>
                <w:kern w:val="2"/>
                <w:sz w:val="24"/>
                <w:szCs w:val="24"/>
              </w:rPr>
            </w:pPr>
            <w:r>
              <w:rPr>
                <w:rFonts w:hint="eastAsia" w:cs="宋体"/>
                <w:kern w:val="2"/>
                <w:sz w:val="24"/>
                <w:szCs w:val="24"/>
              </w:rPr>
              <w:t>⑤</w:t>
            </w:r>
            <w:r>
              <w:rPr>
                <w:kern w:val="2"/>
                <w:sz w:val="24"/>
                <w:szCs w:val="24"/>
              </w:rPr>
              <w:t>评级工作等级确定</w:t>
            </w:r>
          </w:p>
          <w:p>
            <w:pPr>
              <w:adjustRightInd/>
              <w:spacing w:line="360" w:lineRule="auto"/>
              <w:ind w:firstLine="422" w:firstLineChars="176"/>
              <w:jc w:val="left"/>
              <w:textAlignment w:val="auto"/>
              <w:rPr>
                <w:kern w:val="2"/>
                <w:sz w:val="24"/>
                <w:szCs w:val="24"/>
              </w:rPr>
            </w:pPr>
            <w:r>
              <w:rPr>
                <w:kern w:val="2"/>
                <w:sz w:val="24"/>
                <w:szCs w:val="24"/>
              </w:rPr>
              <w:t>本项目所有污染源的正常排放的污染物的P</w:t>
            </w:r>
            <w:r>
              <w:rPr>
                <w:kern w:val="2"/>
                <w:sz w:val="24"/>
                <w:szCs w:val="24"/>
                <w:vertAlign w:val="subscript"/>
              </w:rPr>
              <w:t>max</w:t>
            </w:r>
            <w:r>
              <w:rPr>
                <w:kern w:val="2"/>
                <w:sz w:val="24"/>
                <w:szCs w:val="24"/>
              </w:rPr>
              <w:t>和D</w:t>
            </w:r>
            <w:r>
              <w:rPr>
                <w:kern w:val="2"/>
                <w:sz w:val="24"/>
                <w:szCs w:val="24"/>
                <w:vertAlign w:val="subscript"/>
              </w:rPr>
              <w:t>10%</w:t>
            </w:r>
            <w:r>
              <w:rPr>
                <w:kern w:val="2"/>
                <w:sz w:val="24"/>
                <w:szCs w:val="24"/>
              </w:rPr>
              <w:t>预测结果如下：</w:t>
            </w:r>
          </w:p>
          <w:p>
            <w:pPr>
              <w:spacing w:line="360" w:lineRule="auto"/>
              <w:jc w:val="center"/>
              <w:rPr>
                <w:sz w:val="24"/>
                <w:szCs w:val="24"/>
              </w:rPr>
            </w:pPr>
            <w:r>
              <w:rPr>
                <w:sz w:val="24"/>
                <w:szCs w:val="24"/>
              </w:rPr>
              <w:t xml:space="preserve">表30 </w:t>
            </w:r>
            <w:r>
              <w:rPr>
                <w:rFonts w:hint="eastAsia"/>
                <w:sz w:val="24"/>
                <w:szCs w:val="24"/>
              </w:rPr>
              <w:t>主城区垃圾转运站</w:t>
            </w:r>
            <w:r>
              <w:rPr>
                <w:sz w:val="24"/>
                <w:szCs w:val="24"/>
              </w:rPr>
              <w:t>P</w:t>
            </w:r>
            <w:r>
              <w:rPr>
                <w:sz w:val="24"/>
                <w:szCs w:val="24"/>
                <w:vertAlign w:val="subscript"/>
              </w:rPr>
              <w:t>max</w:t>
            </w:r>
            <w:r>
              <w:rPr>
                <w:sz w:val="24"/>
                <w:szCs w:val="24"/>
              </w:rPr>
              <w:t>和D</w:t>
            </w:r>
            <w:r>
              <w:rPr>
                <w:sz w:val="24"/>
                <w:szCs w:val="24"/>
                <w:vertAlign w:val="subscript"/>
              </w:rPr>
              <w:t>10%</w:t>
            </w:r>
            <w:r>
              <w:rPr>
                <w:sz w:val="24"/>
                <w:szCs w:val="24"/>
              </w:rPr>
              <w:t>预测和计算结果一览表</w:t>
            </w:r>
          </w:p>
          <w:tbl>
            <w:tblPr>
              <w:tblStyle w:val="28"/>
              <w:tblW w:w="82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8"/>
              <w:gridCol w:w="1346"/>
              <w:gridCol w:w="1242"/>
              <w:gridCol w:w="958"/>
              <w:gridCol w:w="985"/>
              <w:gridCol w:w="1097"/>
              <w:gridCol w:w="1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1048" w:type="dxa"/>
                  <w:vAlign w:val="center"/>
                </w:tcPr>
                <w:p>
                  <w:pPr>
                    <w:adjustRightInd/>
                    <w:spacing w:line="360" w:lineRule="auto"/>
                    <w:jc w:val="center"/>
                    <w:textAlignment w:val="auto"/>
                    <w:rPr>
                      <w:kern w:val="2"/>
                      <w:szCs w:val="21"/>
                    </w:rPr>
                  </w:pPr>
                  <w:r>
                    <w:rPr>
                      <w:kern w:val="2"/>
                      <w:szCs w:val="21"/>
                    </w:rPr>
                    <w:t>污染源名称</w:t>
                  </w:r>
                </w:p>
              </w:tc>
              <w:tc>
                <w:tcPr>
                  <w:tcW w:w="1346" w:type="dxa"/>
                  <w:vAlign w:val="center"/>
                </w:tcPr>
                <w:p>
                  <w:pPr>
                    <w:adjustRightInd/>
                    <w:spacing w:line="360" w:lineRule="auto"/>
                    <w:jc w:val="center"/>
                    <w:textAlignment w:val="auto"/>
                    <w:rPr>
                      <w:kern w:val="2"/>
                      <w:szCs w:val="21"/>
                    </w:rPr>
                  </w:pPr>
                  <w:r>
                    <w:rPr>
                      <w:kern w:val="2"/>
                      <w:szCs w:val="21"/>
                    </w:rPr>
                    <w:t>评价因子</w:t>
                  </w:r>
                </w:p>
              </w:tc>
              <w:tc>
                <w:tcPr>
                  <w:tcW w:w="1242" w:type="dxa"/>
                  <w:vAlign w:val="center"/>
                </w:tcPr>
                <w:p>
                  <w:pPr>
                    <w:adjustRightInd/>
                    <w:spacing w:line="360" w:lineRule="auto"/>
                    <w:jc w:val="center"/>
                    <w:textAlignment w:val="auto"/>
                    <w:rPr>
                      <w:kern w:val="2"/>
                      <w:szCs w:val="21"/>
                    </w:rPr>
                  </w:pPr>
                  <w:r>
                    <w:rPr>
                      <w:kern w:val="2"/>
                      <w:szCs w:val="21"/>
                    </w:rPr>
                    <w:t>评价标准</w:t>
                  </w:r>
                </w:p>
                <w:p>
                  <w:pPr>
                    <w:adjustRightInd/>
                    <w:spacing w:line="360" w:lineRule="auto"/>
                    <w:jc w:val="center"/>
                    <w:textAlignment w:val="auto"/>
                    <w:rPr>
                      <w:kern w:val="2"/>
                      <w:szCs w:val="21"/>
                    </w:rPr>
                  </w:pPr>
                  <w:r>
                    <w:rPr>
                      <w:kern w:val="2"/>
                      <w:szCs w:val="21"/>
                    </w:rPr>
                    <w:t>(μg/m</w:t>
                  </w:r>
                  <w:r>
                    <w:rPr>
                      <w:kern w:val="2"/>
                      <w:szCs w:val="21"/>
                      <w:vertAlign w:val="superscript"/>
                    </w:rPr>
                    <w:t>3</w:t>
                  </w:r>
                  <w:r>
                    <w:rPr>
                      <w:kern w:val="2"/>
                      <w:szCs w:val="21"/>
                    </w:rPr>
                    <w:t>)</w:t>
                  </w:r>
                </w:p>
              </w:tc>
              <w:tc>
                <w:tcPr>
                  <w:tcW w:w="958" w:type="dxa"/>
                  <w:vAlign w:val="center"/>
                </w:tcPr>
                <w:p>
                  <w:pPr>
                    <w:adjustRightInd/>
                    <w:spacing w:line="360" w:lineRule="auto"/>
                    <w:jc w:val="center"/>
                    <w:textAlignment w:val="auto"/>
                    <w:rPr>
                      <w:kern w:val="2"/>
                      <w:szCs w:val="21"/>
                      <w:vertAlign w:val="subscript"/>
                    </w:rPr>
                  </w:pPr>
                  <w:r>
                    <w:rPr>
                      <w:kern w:val="2"/>
                      <w:szCs w:val="21"/>
                    </w:rPr>
                    <w:t>C</w:t>
                  </w:r>
                  <w:r>
                    <w:rPr>
                      <w:kern w:val="2"/>
                      <w:szCs w:val="21"/>
                      <w:vertAlign w:val="subscript"/>
                    </w:rPr>
                    <w:t>max</w:t>
                  </w:r>
                </w:p>
                <w:p>
                  <w:pPr>
                    <w:adjustRightInd/>
                    <w:spacing w:line="360" w:lineRule="auto"/>
                    <w:jc w:val="center"/>
                    <w:textAlignment w:val="auto"/>
                    <w:rPr>
                      <w:kern w:val="2"/>
                      <w:szCs w:val="21"/>
                    </w:rPr>
                  </w:pPr>
                  <w:r>
                    <w:rPr>
                      <w:kern w:val="2"/>
                      <w:szCs w:val="21"/>
                    </w:rPr>
                    <w:t>(μg/m</w:t>
                  </w:r>
                  <w:r>
                    <w:rPr>
                      <w:kern w:val="2"/>
                      <w:szCs w:val="21"/>
                      <w:vertAlign w:val="superscript"/>
                    </w:rPr>
                    <w:t>3</w:t>
                  </w:r>
                  <w:r>
                    <w:rPr>
                      <w:kern w:val="2"/>
                      <w:szCs w:val="21"/>
                    </w:rPr>
                    <w:t>)</w:t>
                  </w:r>
                </w:p>
              </w:tc>
              <w:tc>
                <w:tcPr>
                  <w:tcW w:w="985" w:type="dxa"/>
                  <w:vAlign w:val="center"/>
                </w:tcPr>
                <w:p>
                  <w:pPr>
                    <w:adjustRightInd/>
                    <w:spacing w:line="360" w:lineRule="auto"/>
                    <w:jc w:val="center"/>
                    <w:textAlignment w:val="auto"/>
                    <w:rPr>
                      <w:kern w:val="2"/>
                      <w:szCs w:val="21"/>
                    </w:rPr>
                  </w:pPr>
                  <w:r>
                    <w:rPr>
                      <w:kern w:val="2"/>
                      <w:szCs w:val="21"/>
                    </w:rPr>
                    <w:t>P</w:t>
                  </w:r>
                  <w:r>
                    <w:rPr>
                      <w:kern w:val="2"/>
                      <w:szCs w:val="21"/>
                      <w:vertAlign w:val="subscript"/>
                    </w:rPr>
                    <w:t>max</w:t>
                  </w:r>
                  <w:r>
                    <w:rPr>
                      <w:kern w:val="2"/>
                      <w:szCs w:val="21"/>
                    </w:rPr>
                    <w:t>(%)</w:t>
                  </w:r>
                </w:p>
              </w:tc>
              <w:tc>
                <w:tcPr>
                  <w:tcW w:w="1097" w:type="dxa"/>
                  <w:vAlign w:val="center"/>
                </w:tcPr>
                <w:p>
                  <w:pPr>
                    <w:adjustRightInd/>
                    <w:spacing w:line="360" w:lineRule="auto"/>
                    <w:jc w:val="center"/>
                    <w:textAlignment w:val="auto"/>
                    <w:rPr>
                      <w:kern w:val="2"/>
                      <w:szCs w:val="21"/>
                    </w:rPr>
                  </w:pPr>
                  <w:r>
                    <w:rPr>
                      <w:kern w:val="2"/>
                      <w:szCs w:val="21"/>
                    </w:rPr>
                    <w:t>D</w:t>
                  </w:r>
                  <w:r>
                    <w:rPr>
                      <w:kern w:val="2"/>
                      <w:szCs w:val="21"/>
                      <w:vertAlign w:val="subscript"/>
                    </w:rPr>
                    <w:t>10%</w:t>
                  </w:r>
                  <w:r>
                    <w:rPr>
                      <w:kern w:val="2"/>
                      <w:szCs w:val="21"/>
                    </w:rPr>
                    <w:t>(m)</w:t>
                  </w:r>
                </w:p>
              </w:tc>
              <w:tc>
                <w:tcPr>
                  <w:tcW w:w="1570" w:type="dxa"/>
                  <w:vAlign w:val="center"/>
                </w:tcPr>
                <w:p>
                  <w:pPr>
                    <w:adjustRightInd/>
                    <w:spacing w:line="360" w:lineRule="auto"/>
                    <w:jc w:val="center"/>
                    <w:textAlignment w:val="auto"/>
                    <w:rPr>
                      <w:kern w:val="2"/>
                      <w:szCs w:val="21"/>
                    </w:rPr>
                  </w:pPr>
                  <w:r>
                    <w:rPr>
                      <w:rFonts w:hint="eastAsia"/>
                      <w:kern w:val="2"/>
                      <w:szCs w:val="21"/>
                    </w:rPr>
                    <w:t>评价工作等级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48" w:type="dxa"/>
                  <w:vMerge w:val="restart"/>
                  <w:vAlign w:val="center"/>
                </w:tcPr>
                <w:p>
                  <w:pPr>
                    <w:adjustRightInd/>
                    <w:spacing w:line="360" w:lineRule="auto"/>
                    <w:jc w:val="center"/>
                    <w:textAlignment w:val="auto"/>
                    <w:rPr>
                      <w:kern w:val="2"/>
                      <w:szCs w:val="21"/>
                    </w:rPr>
                  </w:pPr>
                  <w:r>
                    <w:rPr>
                      <w:rFonts w:hint="eastAsia"/>
                      <w:kern w:val="2"/>
                      <w:szCs w:val="21"/>
                    </w:rPr>
                    <w:t>1#排气筒</w:t>
                  </w:r>
                </w:p>
              </w:tc>
              <w:tc>
                <w:tcPr>
                  <w:tcW w:w="1346" w:type="dxa"/>
                  <w:vAlign w:val="center"/>
                </w:tcPr>
                <w:p>
                  <w:pPr>
                    <w:adjustRightInd/>
                    <w:spacing w:line="360" w:lineRule="auto"/>
                    <w:jc w:val="center"/>
                    <w:textAlignment w:val="auto"/>
                    <w:rPr>
                      <w:kern w:val="2"/>
                      <w:szCs w:val="21"/>
                    </w:rPr>
                  </w:pPr>
                  <w:r>
                    <w:rPr>
                      <w:rFonts w:hint="eastAsia"/>
                      <w:kern w:val="2"/>
                      <w:szCs w:val="21"/>
                    </w:rPr>
                    <w:t>NH</w:t>
                  </w:r>
                  <w:r>
                    <w:rPr>
                      <w:rFonts w:hint="eastAsia"/>
                      <w:kern w:val="2"/>
                      <w:szCs w:val="21"/>
                      <w:vertAlign w:val="subscript"/>
                    </w:rPr>
                    <w:t>3</w:t>
                  </w:r>
                </w:p>
              </w:tc>
              <w:tc>
                <w:tcPr>
                  <w:tcW w:w="1242" w:type="dxa"/>
                  <w:vAlign w:val="center"/>
                </w:tcPr>
                <w:p>
                  <w:pPr>
                    <w:adjustRightInd/>
                    <w:spacing w:line="360" w:lineRule="auto"/>
                    <w:jc w:val="center"/>
                    <w:textAlignment w:val="auto"/>
                    <w:rPr>
                      <w:kern w:val="2"/>
                      <w:szCs w:val="21"/>
                    </w:rPr>
                  </w:pPr>
                  <w:r>
                    <w:rPr>
                      <w:rFonts w:hint="eastAsia"/>
                      <w:kern w:val="2"/>
                      <w:szCs w:val="21"/>
                    </w:rPr>
                    <w:t>2</w:t>
                  </w:r>
                  <w:r>
                    <w:rPr>
                      <w:kern w:val="2"/>
                      <w:szCs w:val="21"/>
                    </w:rPr>
                    <w:t>00</w:t>
                  </w:r>
                </w:p>
              </w:tc>
              <w:tc>
                <w:tcPr>
                  <w:tcW w:w="958" w:type="dxa"/>
                  <w:vAlign w:val="center"/>
                </w:tcPr>
                <w:p>
                  <w:pPr>
                    <w:spacing w:line="360" w:lineRule="auto"/>
                    <w:jc w:val="center"/>
                    <w:rPr>
                      <w:szCs w:val="21"/>
                    </w:rPr>
                  </w:pPr>
                  <w:r>
                    <w:rPr>
                      <w:szCs w:val="21"/>
                    </w:rPr>
                    <w:t>1.35</w:t>
                  </w:r>
                </w:p>
              </w:tc>
              <w:tc>
                <w:tcPr>
                  <w:tcW w:w="985" w:type="dxa"/>
                  <w:vAlign w:val="center"/>
                </w:tcPr>
                <w:p>
                  <w:pPr>
                    <w:spacing w:line="360" w:lineRule="auto"/>
                    <w:jc w:val="center"/>
                    <w:rPr>
                      <w:szCs w:val="21"/>
                    </w:rPr>
                  </w:pPr>
                  <w:r>
                    <w:rPr>
                      <w:szCs w:val="21"/>
                    </w:rPr>
                    <w:t>0.68</w:t>
                  </w:r>
                </w:p>
              </w:tc>
              <w:tc>
                <w:tcPr>
                  <w:tcW w:w="1097" w:type="dxa"/>
                  <w:vAlign w:val="center"/>
                </w:tcPr>
                <w:p>
                  <w:pPr>
                    <w:adjustRightInd/>
                    <w:spacing w:line="360" w:lineRule="auto"/>
                    <w:jc w:val="center"/>
                    <w:textAlignment w:val="auto"/>
                    <w:rPr>
                      <w:kern w:val="2"/>
                      <w:szCs w:val="21"/>
                    </w:rPr>
                  </w:pPr>
                  <w:r>
                    <w:rPr>
                      <w:rFonts w:hint="eastAsia"/>
                      <w:kern w:val="2"/>
                      <w:szCs w:val="21"/>
                    </w:rPr>
                    <w:t>/</w:t>
                  </w:r>
                </w:p>
              </w:tc>
              <w:tc>
                <w:tcPr>
                  <w:tcW w:w="1570" w:type="dxa"/>
                  <w:vAlign w:val="center"/>
                </w:tcPr>
                <w:p>
                  <w:pPr>
                    <w:adjustRightInd/>
                    <w:spacing w:line="360" w:lineRule="auto"/>
                    <w:jc w:val="center"/>
                    <w:textAlignment w:val="auto"/>
                    <w:rPr>
                      <w:kern w:val="2"/>
                      <w:szCs w:val="21"/>
                    </w:rPr>
                  </w:pPr>
                  <w:r>
                    <w:rPr>
                      <w:rFonts w:hint="eastAsia"/>
                      <w:kern w:val="2"/>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48" w:type="dxa"/>
                  <w:vMerge w:val="continue"/>
                  <w:vAlign w:val="center"/>
                </w:tcPr>
                <w:p>
                  <w:pPr>
                    <w:adjustRightInd/>
                    <w:spacing w:line="360" w:lineRule="auto"/>
                    <w:jc w:val="center"/>
                    <w:textAlignment w:val="auto"/>
                    <w:rPr>
                      <w:kern w:val="2"/>
                      <w:szCs w:val="21"/>
                    </w:rPr>
                  </w:pPr>
                </w:p>
              </w:tc>
              <w:tc>
                <w:tcPr>
                  <w:tcW w:w="1346" w:type="dxa"/>
                  <w:vAlign w:val="center"/>
                </w:tcPr>
                <w:p>
                  <w:pPr>
                    <w:adjustRightInd/>
                    <w:spacing w:line="360" w:lineRule="auto"/>
                    <w:jc w:val="center"/>
                    <w:textAlignment w:val="auto"/>
                    <w:rPr>
                      <w:kern w:val="2"/>
                      <w:szCs w:val="21"/>
                    </w:rPr>
                  </w:pPr>
                  <w:r>
                    <w:rPr>
                      <w:rFonts w:hint="eastAsia"/>
                      <w:kern w:val="2"/>
                      <w:szCs w:val="21"/>
                    </w:rPr>
                    <w:t>H</w:t>
                  </w:r>
                  <w:r>
                    <w:rPr>
                      <w:rFonts w:hint="eastAsia"/>
                      <w:kern w:val="2"/>
                      <w:szCs w:val="21"/>
                      <w:vertAlign w:val="subscript"/>
                    </w:rPr>
                    <w:t>2</w:t>
                  </w:r>
                  <w:r>
                    <w:rPr>
                      <w:rFonts w:hint="eastAsia"/>
                      <w:kern w:val="2"/>
                      <w:szCs w:val="21"/>
                    </w:rPr>
                    <w:t>S</w:t>
                  </w:r>
                </w:p>
              </w:tc>
              <w:tc>
                <w:tcPr>
                  <w:tcW w:w="1242" w:type="dxa"/>
                  <w:vAlign w:val="center"/>
                </w:tcPr>
                <w:p>
                  <w:pPr>
                    <w:adjustRightInd/>
                    <w:spacing w:line="360" w:lineRule="auto"/>
                    <w:jc w:val="center"/>
                    <w:textAlignment w:val="auto"/>
                    <w:rPr>
                      <w:kern w:val="2"/>
                      <w:szCs w:val="21"/>
                    </w:rPr>
                  </w:pPr>
                  <w:r>
                    <w:rPr>
                      <w:rFonts w:hint="eastAsia"/>
                      <w:kern w:val="2"/>
                      <w:szCs w:val="21"/>
                    </w:rPr>
                    <w:t>1</w:t>
                  </w:r>
                  <w:r>
                    <w:rPr>
                      <w:kern w:val="2"/>
                      <w:szCs w:val="21"/>
                    </w:rPr>
                    <w:t>0</w:t>
                  </w:r>
                </w:p>
              </w:tc>
              <w:tc>
                <w:tcPr>
                  <w:tcW w:w="958" w:type="dxa"/>
                  <w:vAlign w:val="center"/>
                </w:tcPr>
                <w:p>
                  <w:pPr>
                    <w:spacing w:line="360" w:lineRule="auto"/>
                    <w:jc w:val="center"/>
                    <w:rPr>
                      <w:szCs w:val="21"/>
                    </w:rPr>
                  </w:pPr>
                  <w:r>
                    <w:rPr>
                      <w:szCs w:val="21"/>
                    </w:rPr>
                    <w:t>0.14</w:t>
                  </w:r>
                </w:p>
              </w:tc>
              <w:tc>
                <w:tcPr>
                  <w:tcW w:w="985" w:type="dxa"/>
                  <w:vAlign w:val="center"/>
                </w:tcPr>
                <w:p>
                  <w:pPr>
                    <w:spacing w:line="360" w:lineRule="auto"/>
                    <w:jc w:val="center"/>
                    <w:rPr>
                      <w:szCs w:val="21"/>
                    </w:rPr>
                  </w:pPr>
                  <w:r>
                    <w:rPr>
                      <w:szCs w:val="21"/>
                    </w:rPr>
                    <w:t>0.98</w:t>
                  </w:r>
                </w:p>
              </w:tc>
              <w:tc>
                <w:tcPr>
                  <w:tcW w:w="1097" w:type="dxa"/>
                  <w:vAlign w:val="center"/>
                </w:tcPr>
                <w:p>
                  <w:pPr>
                    <w:adjustRightInd/>
                    <w:spacing w:line="360" w:lineRule="auto"/>
                    <w:jc w:val="center"/>
                    <w:textAlignment w:val="auto"/>
                    <w:rPr>
                      <w:kern w:val="2"/>
                      <w:szCs w:val="21"/>
                    </w:rPr>
                  </w:pPr>
                  <w:r>
                    <w:rPr>
                      <w:rFonts w:hint="eastAsia"/>
                      <w:kern w:val="2"/>
                      <w:szCs w:val="21"/>
                    </w:rPr>
                    <w:t>/</w:t>
                  </w:r>
                </w:p>
              </w:tc>
              <w:tc>
                <w:tcPr>
                  <w:tcW w:w="1570" w:type="dxa"/>
                  <w:vAlign w:val="center"/>
                </w:tcPr>
                <w:p>
                  <w:pPr>
                    <w:adjustRightInd/>
                    <w:spacing w:line="360" w:lineRule="auto"/>
                    <w:jc w:val="center"/>
                    <w:textAlignment w:val="auto"/>
                    <w:rPr>
                      <w:kern w:val="2"/>
                      <w:szCs w:val="21"/>
                    </w:rPr>
                  </w:pPr>
                  <w:r>
                    <w:rPr>
                      <w:rFonts w:hint="eastAsia"/>
                      <w:kern w:val="2"/>
                      <w:szCs w:val="21"/>
                    </w:rPr>
                    <w:t>三级</w:t>
                  </w:r>
                </w:p>
              </w:tc>
            </w:tr>
          </w:tbl>
          <w:p>
            <w:pPr>
              <w:spacing w:line="360" w:lineRule="auto"/>
              <w:jc w:val="center"/>
              <w:rPr>
                <w:sz w:val="24"/>
                <w:szCs w:val="24"/>
              </w:rPr>
            </w:pPr>
            <w:r>
              <w:rPr>
                <w:sz w:val="24"/>
                <w:szCs w:val="24"/>
              </w:rPr>
              <w:t xml:space="preserve">表31 </w:t>
            </w:r>
            <w:r>
              <w:rPr>
                <w:rFonts w:hint="eastAsia"/>
                <w:sz w:val="24"/>
                <w:szCs w:val="24"/>
              </w:rPr>
              <w:t>寿王坟镇垃圾转运站</w:t>
            </w:r>
            <w:r>
              <w:rPr>
                <w:sz w:val="24"/>
                <w:szCs w:val="24"/>
              </w:rPr>
              <w:t>P</w:t>
            </w:r>
            <w:r>
              <w:rPr>
                <w:sz w:val="24"/>
                <w:szCs w:val="24"/>
                <w:vertAlign w:val="subscript"/>
              </w:rPr>
              <w:t>max</w:t>
            </w:r>
            <w:r>
              <w:rPr>
                <w:sz w:val="24"/>
                <w:szCs w:val="24"/>
              </w:rPr>
              <w:t>和D</w:t>
            </w:r>
            <w:r>
              <w:rPr>
                <w:sz w:val="24"/>
                <w:szCs w:val="24"/>
                <w:vertAlign w:val="subscript"/>
              </w:rPr>
              <w:t>10%</w:t>
            </w:r>
            <w:r>
              <w:rPr>
                <w:sz w:val="24"/>
                <w:szCs w:val="24"/>
              </w:rPr>
              <w:t>预测和计算结果一览表</w:t>
            </w:r>
          </w:p>
          <w:tbl>
            <w:tblPr>
              <w:tblStyle w:val="28"/>
              <w:tblW w:w="82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8"/>
              <w:gridCol w:w="1336"/>
              <w:gridCol w:w="1229"/>
              <w:gridCol w:w="958"/>
              <w:gridCol w:w="992"/>
              <w:gridCol w:w="1096"/>
              <w:gridCol w:w="1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1048" w:type="dxa"/>
                  <w:vAlign w:val="center"/>
                </w:tcPr>
                <w:p>
                  <w:pPr>
                    <w:adjustRightInd/>
                    <w:spacing w:line="360" w:lineRule="auto"/>
                    <w:jc w:val="center"/>
                    <w:textAlignment w:val="auto"/>
                    <w:rPr>
                      <w:kern w:val="2"/>
                      <w:szCs w:val="21"/>
                    </w:rPr>
                  </w:pPr>
                  <w:r>
                    <w:rPr>
                      <w:kern w:val="2"/>
                      <w:szCs w:val="21"/>
                    </w:rPr>
                    <w:t>污染源名称</w:t>
                  </w:r>
                </w:p>
              </w:tc>
              <w:tc>
                <w:tcPr>
                  <w:tcW w:w="1336" w:type="dxa"/>
                  <w:vAlign w:val="center"/>
                </w:tcPr>
                <w:p>
                  <w:pPr>
                    <w:adjustRightInd/>
                    <w:spacing w:line="360" w:lineRule="auto"/>
                    <w:jc w:val="center"/>
                    <w:textAlignment w:val="auto"/>
                    <w:rPr>
                      <w:kern w:val="2"/>
                      <w:szCs w:val="21"/>
                    </w:rPr>
                  </w:pPr>
                  <w:r>
                    <w:rPr>
                      <w:kern w:val="2"/>
                      <w:szCs w:val="21"/>
                    </w:rPr>
                    <w:t>评价因子</w:t>
                  </w:r>
                </w:p>
              </w:tc>
              <w:tc>
                <w:tcPr>
                  <w:tcW w:w="1229" w:type="dxa"/>
                  <w:vAlign w:val="center"/>
                </w:tcPr>
                <w:p>
                  <w:pPr>
                    <w:adjustRightInd/>
                    <w:spacing w:line="360" w:lineRule="auto"/>
                    <w:jc w:val="center"/>
                    <w:textAlignment w:val="auto"/>
                    <w:rPr>
                      <w:kern w:val="2"/>
                      <w:szCs w:val="21"/>
                    </w:rPr>
                  </w:pPr>
                  <w:r>
                    <w:rPr>
                      <w:kern w:val="2"/>
                      <w:szCs w:val="21"/>
                    </w:rPr>
                    <w:t>评价标准</w:t>
                  </w:r>
                </w:p>
                <w:p>
                  <w:pPr>
                    <w:adjustRightInd/>
                    <w:spacing w:line="360" w:lineRule="auto"/>
                    <w:jc w:val="center"/>
                    <w:textAlignment w:val="auto"/>
                    <w:rPr>
                      <w:kern w:val="2"/>
                      <w:szCs w:val="21"/>
                    </w:rPr>
                  </w:pPr>
                  <w:r>
                    <w:rPr>
                      <w:kern w:val="2"/>
                      <w:szCs w:val="21"/>
                    </w:rPr>
                    <w:t>(μg/m</w:t>
                  </w:r>
                  <w:r>
                    <w:rPr>
                      <w:kern w:val="2"/>
                      <w:szCs w:val="21"/>
                      <w:vertAlign w:val="superscript"/>
                    </w:rPr>
                    <w:t>3</w:t>
                  </w:r>
                  <w:r>
                    <w:rPr>
                      <w:kern w:val="2"/>
                      <w:szCs w:val="21"/>
                    </w:rPr>
                    <w:t>)</w:t>
                  </w:r>
                </w:p>
              </w:tc>
              <w:tc>
                <w:tcPr>
                  <w:tcW w:w="958" w:type="dxa"/>
                  <w:vAlign w:val="center"/>
                </w:tcPr>
                <w:p>
                  <w:pPr>
                    <w:adjustRightInd/>
                    <w:spacing w:line="360" w:lineRule="auto"/>
                    <w:jc w:val="center"/>
                    <w:textAlignment w:val="auto"/>
                    <w:rPr>
                      <w:kern w:val="2"/>
                      <w:szCs w:val="21"/>
                      <w:vertAlign w:val="subscript"/>
                    </w:rPr>
                  </w:pPr>
                  <w:r>
                    <w:rPr>
                      <w:kern w:val="2"/>
                      <w:szCs w:val="21"/>
                    </w:rPr>
                    <w:t>C</w:t>
                  </w:r>
                  <w:r>
                    <w:rPr>
                      <w:kern w:val="2"/>
                      <w:szCs w:val="21"/>
                      <w:vertAlign w:val="subscript"/>
                    </w:rPr>
                    <w:t>max</w:t>
                  </w:r>
                </w:p>
                <w:p>
                  <w:pPr>
                    <w:adjustRightInd/>
                    <w:spacing w:line="360" w:lineRule="auto"/>
                    <w:jc w:val="center"/>
                    <w:textAlignment w:val="auto"/>
                    <w:rPr>
                      <w:kern w:val="2"/>
                      <w:szCs w:val="21"/>
                    </w:rPr>
                  </w:pPr>
                  <w:r>
                    <w:rPr>
                      <w:kern w:val="2"/>
                      <w:szCs w:val="21"/>
                    </w:rPr>
                    <w:t>(μg/m</w:t>
                  </w:r>
                  <w:r>
                    <w:rPr>
                      <w:kern w:val="2"/>
                      <w:szCs w:val="21"/>
                      <w:vertAlign w:val="superscript"/>
                    </w:rPr>
                    <w:t>3</w:t>
                  </w:r>
                  <w:r>
                    <w:rPr>
                      <w:kern w:val="2"/>
                      <w:szCs w:val="21"/>
                    </w:rPr>
                    <w:t>)</w:t>
                  </w:r>
                </w:p>
              </w:tc>
              <w:tc>
                <w:tcPr>
                  <w:tcW w:w="992" w:type="dxa"/>
                  <w:vAlign w:val="center"/>
                </w:tcPr>
                <w:p>
                  <w:pPr>
                    <w:adjustRightInd/>
                    <w:spacing w:line="360" w:lineRule="auto"/>
                    <w:jc w:val="center"/>
                    <w:textAlignment w:val="auto"/>
                    <w:rPr>
                      <w:kern w:val="2"/>
                      <w:szCs w:val="21"/>
                    </w:rPr>
                  </w:pPr>
                  <w:r>
                    <w:rPr>
                      <w:kern w:val="2"/>
                      <w:szCs w:val="21"/>
                    </w:rPr>
                    <w:t>P</w:t>
                  </w:r>
                  <w:r>
                    <w:rPr>
                      <w:kern w:val="2"/>
                      <w:szCs w:val="21"/>
                      <w:vertAlign w:val="subscript"/>
                    </w:rPr>
                    <w:t>max</w:t>
                  </w:r>
                  <w:r>
                    <w:rPr>
                      <w:kern w:val="2"/>
                      <w:szCs w:val="21"/>
                    </w:rPr>
                    <w:t>(%)</w:t>
                  </w:r>
                </w:p>
              </w:tc>
              <w:tc>
                <w:tcPr>
                  <w:tcW w:w="1096" w:type="dxa"/>
                  <w:vAlign w:val="center"/>
                </w:tcPr>
                <w:p>
                  <w:pPr>
                    <w:adjustRightInd/>
                    <w:spacing w:line="360" w:lineRule="auto"/>
                    <w:jc w:val="center"/>
                    <w:textAlignment w:val="auto"/>
                    <w:rPr>
                      <w:kern w:val="2"/>
                      <w:szCs w:val="21"/>
                    </w:rPr>
                  </w:pPr>
                  <w:r>
                    <w:rPr>
                      <w:kern w:val="2"/>
                      <w:szCs w:val="21"/>
                    </w:rPr>
                    <w:t>D</w:t>
                  </w:r>
                  <w:r>
                    <w:rPr>
                      <w:kern w:val="2"/>
                      <w:szCs w:val="21"/>
                      <w:vertAlign w:val="subscript"/>
                    </w:rPr>
                    <w:t>10%</w:t>
                  </w:r>
                  <w:r>
                    <w:rPr>
                      <w:kern w:val="2"/>
                      <w:szCs w:val="21"/>
                    </w:rPr>
                    <w:t>(m)</w:t>
                  </w:r>
                </w:p>
              </w:tc>
              <w:tc>
                <w:tcPr>
                  <w:tcW w:w="1587" w:type="dxa"/>
                  <w:vAlign w:val="center"/>
                </w:tcPr>
                <w:p>
                  <w:pPr>
                    <w:adjustRightInd/>
                    <w:spacing w:line="360" w:lineRule="auto"/>
                    <w:jc w:val="center"/>
                    <w:textAlignment w:val="auto"/>
                    <w:rPr>
                      <w:kern w:val="2"/>
                      <w:szCs w:val="21"/>
                    </w:rPr>
                  </w:pPr>
                  <w:r>
                    <w:rPr>
                      <w:rFonts w:hint="eastAsia"/>
                      <w:kern w:val="2"/>
                      <w:szCs w:val="21"/>
                    </w:rPr>
                    <w:t>评价工作等级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48" w:type="dxa"/>
                  <w:vMerge w:val="restart"/>
                  <w:vAlign w:val="center"/>
                </w:tcPr>
                <w:p>
                  <w:pPr>
                    <w:adjustRightInd/>
                    <w:spacing w:line="360" w:lineRule="auto"/>
                    <w:jc w:val="center"/>
                    <w:textAlignment w:val="auto"/>
                    <w:rPr>
                      <w:kern w:val="2"/>
                      <w:szCs w:val="21"/>
                    </w:rPr>
                  </w:pPr>
                  <w:r>
                    <w:rPr>
                      <w:rFonts w:hint="eastAsia"/>
                      <w:kern w:val="2"/>
                      <w:szCs w:val="21"/>
                    </w:rPr>
                    <w:t>2#排气筒</w:t>
                  </w:r>
                </w:p>
              </w:tc>
              <w:tc>
                <w:tcPr>
                  <w:tcW w:w="1336" w:type="dxa"/>
                  <w:vAlign w:val="center"/>
                </w:tcPr>
                <w:p>
                  <w:pPr>
                    <w:adjustRightInd/>
                    <w:spacing w:line="360" w:lineRule="auto"/>
                    <w:jc w:val="center"/>
                    <w:textAlignment w:val="auto"/>
                    <w:rPr>
                      <w:kern w:val="2"/>
                      <w:szCs w:val="21"/>
                    </w:rPr>
                  </w:pPr>
                  <w:r>
                    <w:rPr>
                      <w:rFonts w:hint="eastAsia"/>
                      <w:kern w:val="2"/>
                      <w:szCs w:val="21"/>
                    </w:rPr>
                    <w:t>NH</w:t>
                  </w:r>
                  <w:r>
                    <w:rPr>
                      <w:rFonts w:hint="eastAsia"/>
                      <w:kern w:val="2"/>
                      <w:szCs w:val="21"/>
                      <w:vertAlign w:val="subscript"/>
                    </w:rPr>
                    <w:t>3</w:t>
                  </w:r>
                </w:p>
              </w:tc>
              <w:tc>
                <w:tcPr>
                  <w:tcW w:w="1229" w:type="dxa"/>
                  <w:vAlign w:val="center"/>
                </w:tcPr>
                <w:p>
                  <w:pPr>
                    <w:adjustRightInd/>
                    <w:spacing w:line="360" w:lineRule="auto"/>
                    <w:jc w:val="center"/>
                    <w:textAlignment w:val="auto"/>
                    <w:rPr>
                      <w:kern w:val="2"/>
                      <w:szCs w:val="21"/>
                    </w:rPr>
                  </w:pPr>
                  <w:r>
                    <w:rPr>
                      <w:rFonts w:hint="eastAsia"/>
                      <w:kern w:val="2"/>
                      <w:szCs w:val="21"/>
                    </w:rPr>
                    <w:t>2</w:t>
                  </w:r>
                  <w:r>
                    <w:rPr>
                      <w:kern w:val="2"/>
                      <w:szCs w:val="21"/>
                    </w:rPr>
                    <w:t>00</w:t>
                  </w:r>
                </w:p>
              </w:tc>
              <w:tc>
                <w:tcPr>
                  <w:tcW w:w="958" w:type="dxa"/>
                  <w:vAlign w:val="center"/>
                </w:tcPr>
                <w:p>
                  <w:pPr>
                    <w:spacing w:line="360" w:lineRule="auto"/>
                    <w:jc w:val="center"/>
                    <w:rPr>
                      <w:szCs w:val="21"/>
                    </w:rPr>
                  </w:pPr>
                  <w:r>
                    <w:rPr>
                      <w:szCs w:val="21"/>
                    </w:rPr>
                    <w:t>0.82</w:t>
                  </w:r>
                </w:p>
              </w:tc>
              <w:tc>
                <w:tcPr>
                  <w:tcW w:w="992" w:type="dxa"/>
                  <w:vAlign w:val="center"/>
                </w:tcPr>
                <w:p>
                  <w:pPr>
                    <w:spacing w:line="360" w:lineRule="auto"/>
                    <w:jc w:val="center"/>
                    <w:rPr>
                      <w:szCs w:val="21"/>
                    </w:rPr>
                  </w:pPr>
                  <w:r>
                    <w:rPr>
                      <w:szCs w:val="21"/>
                    </w:rPr>
                    <w:t>0.41</w:t>
                  </w:r>
                </w:p>
              </w:tc>
              <w:tc>
                <w:tcPr>
                  <w:tcW w:w="1096" w:type="dxa"/>
                  <w:vAlign w:val="center"/>
                </w:tcPr>
                <w:p>
                  <w:pPr>
                    <w:adjustRightInd/>
                    <w:spacing w:line="360" w:lineRule="auto"/>
                    <w:jc w:val="center"/>
                    <w:textAlignment w:val="auto"/>
                    <w:rPr>
                      <w:kern w:val="2"/>
                      <w:szCs w:val="21"/>
                    </w:rPr>
                  </w:pPr>
                  <w:r>
                    <w:rPr>
                      <w:rFonts w:hint="eastAsia"/>
                      <w:kern w:val="2"/>
                      <w:szCs w:val="21"/>
                    </w:rPr>
                    <w:t>/</w:t>
                  </w:r>
                </w:p>
              </w:tc>
              <w:tc>
                <w:tcPr>
                  <w:tcW w:w="1587" w:type="dxa"/>
                  <w:vAlign w:val="center"/>
                </w:tcPr>
                <w:p>
                  <w:pPr>
                    <w:adjustRightInd/>
                    <w:spacing w:line="360" w:lineRule="auto"/>
                    <w:jc w:val="center"/>
                    <w:textAlignment w:val="auto"/>
                    <w:rPr>
                      <w:kern w:val="2"/>
                      <w:szCs w:val="21"/>
                    </w:rPr>
                  </w:pPr>
                  <w:r>
                    <w:rPr>
                      <w:rFonts w:hint="eastAsia"/>
                      <w:kern w:val="2"/>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48" w:type="dxa"/>
                  <w:vMerge w:val="continue"/>
                  <w:vAlign w:val="center"/>
                </w:tcPr>
                <w:p>
                  <w:pPr>
                    <w:adjustRightInd/>
                    <w:spacing w:line="360" w:lineRule="auto"/>
                    <w:ind w:firstLine="420"/>
                    <w:jc w:val="center"/>
                    <w:textAlignment w:val="auto"/>
                    <w:rPr>
                      <w:kern w:val="2"/>
                      <w:szCs w:val="21"/>
                    </w:rPr>
                  </w:pPr>
                </w:p>
              </w:tc>
              <w:tc>
                <w:tcPr>
                  <w:tcW w:w="1336" w:type="dxa"/>
                  <w:vAlign w:val="center"/>
                </w:tcPr>
                <w:p>
                  <w:pPr>
                    <w:adjustRightInd/>
                    <w:spacing w:line="360" w:lineRule="auto"/>
                    <w:jc w:val="center"/>
                    <w:textAlignment w:val="auto"/>
                    <w:rPr>
                      <w:kern w:val="2"/>
                      <w:szCs w:val="21"/>
                    </w:rPr>
                  </w:pPr>
                  <w:r>
                    <w:rPr>
                      <w:rFonts w:hint="eastAsia"/>
                      <w:kern w:val="2"/>
                      <w:szCs w:val="21"/>
                    </w:rPr>
                    <w:t>H</w:t>
                  </w:r>
                  <w:r>
                    <w:rPr>
                      <w:rFonts w:hint="eastAsia"/>
                      <w:kern w:val="2"/>
                      <w:szCs w:val="21"/>
                      <w:vertAlign w:val="subscript"/>
                    </w:rPr>
                    <w:t>2</w:t>
                  </w:r>
                  <w:r>
                    <w:rPr>
                      <w:rFonts w:hint="eastAsia"/>
                      <w:kern w:val="2"/>
                      <w:szCs w:val="21"/>
                    </w:rPr>
                    <w:t>S</w:t>
                  </w:r>
                </w:p>
              </w:tc>
              <w:tc>
                <w:tcPr>
                  <w:tcW w:w="1229" w:type="dxa"/>
                  <w:vAlign w:val="center"/>
                </w:tcPr>
                <w:p>
                  <w:pPr>
                    <w:adjustRightInd/>
                    <w:spacing w:line="360" w:lineRule="auto"/>
                    <w:jc w:val="center"/>
                    <w:textAlignment w:val="auto"/>
                    <w:rPr>
                      <w:kern w:val="2"/>
                      <w:szCs w:val="21"/>
                    </w:rPr>
                  </w:pPr>
                  <w:r>
                    <w:rPr>
                      <w:rFonts w:hint="eastAsia"/>
                      <w:kern w:val="2"/>
                      <w:szCs w:val="21"/>
                    </w:rPr>
                    <w:t>1</w:t>
                  </w:r>
                  <w:r>
                    <w:rPr>
                      <w:kern w:val="2"/>
                      <w:szCs w:val="21"/>
                    </w:rPr>
                    <w:t>0</w:t>
                  </w:r>
                </w:p>
              </w:tc>
              <w:tc>
                <w:tcPr>
                  <w:tcW w:w="958" w:type="dxa"/>
                  <w:vAlign w:val="center"/>
                </w:tcPr>
                <w:p>
                  <w:pPr>
                    <w:spacing w:line="360" w:lineRule="auto"/>
                    <w:jc w:val="center"/>
                    <w:rPr>
                      <w:szCs w:val="21"/>
                    </w:rPr>
                  </w:pPr>
                  <w:r>
                    <w:rPr>
                      <w:szCs w:val="21"/>
                    </w:rPr>
                    <w:t>0.09</w:t>
                  </w:r>
                </w:p>
              </w:tc>
              <w:tc>
                <w:tcPr>
                  <w:tcW w:w="992" w:type="dxa"/>
                  <w:vAlign w:val="center"/>
                </w:tcPr>
                <w:p>
                  <w:pPr>
                    <w:spacing w:line="360" w:lineRule="auto"/>
                    <w:jc w:val="center"/>
                    <w:rPr>
                      <w:szCs w:val="21"/>
                    </w:rPr>
                  </w:pPr>
                  <w:r>
                    <w:rPr>
                      <w:szCs w:val="21"/>
                    </w:rPr>
                    <w:t>0.89</w:t>
                  </w:r>
                </w:p>
              </w:tc>
              <w:tc>
                <w:tcPr>
                  <w:tcW w:w="1096" w:type="dxa"/>
                  <w:vAlign w:val="center"/>
                </w:tcPr>
                <w:p>
                  <w:pPr>
                    <w:adjustRightInd/>
                    <w:spacing w:line="360" w:lineRule="auto"/>
                    <w:jc w:val="center"/>
                    <w:textAlignment w:val="auto"/>
                    <w:rPr>
                      <w:kern w:val="2"/>
                      <w:szCs w:val="21"/>
                    </w:rPr>
                  </w:pPr>
                  <w:r>
                    <w:rPr>
                      <w:rFonts w:hint="eastAsia"/>
                      <w:kern w:val="2"/>
                      <w:szCs w:val="21"/>
                    </w:rPr>
                    <w:t>/</w:t>
                  </w:r>
                </w:p>
              </w:tc>
              <w:tc>
                <w:tcPr>
                  <w:tcW w:w="1587" w:type="dxa"/>
                  <w:vAlign w:val="center"/>
                </w:tcPr>
                <w:p>
                  <w:pPr>
                    <w:adjustRightInd/>
                    <w:spacing w:line="360" w:lineRule="auto"/>
                    <w:jc w:val="center"/>
                    <w:textAlignment w:val="auto"/>
                    <w:rPr>
                      <w:kern w:val="2"/>
                      <w:szCs w:val="21"/>
                    </w:rPr>
                  </w:pPr>
                  <w:r>
                    <w:rPr>
                      <w:rFonts w:hint="eastAsia"/>
                      <w:kern w:val="2"/>
                      <w:szCs w:val="21"/>
                    </w:rPr>
                    <w:t>三级</w:t>
                  </w:r>
                </w:p>
              </w:tc>
            </w:tr>
          </w:tbl>
          <w:p>
            <w:pPr>
              <w:pStyle w:val="105"/>
              <w:spacing w:line="360" w:lineRule="auto"/>
              <w:ind w:firstLine="480" w:firstLineChars="200"/>
              <w:jc w:val="both"/>
              <w:rPr>
                <w:rFonts w:ascii="Times New Roman"/>
                <w:color w:val="auto"/>
                <w:szCs w:val="23"/>
              </w:rPr>
            </w:pPr>
            <w:r>
              <w:rPr>
                <w:rFonts w:hint="eastAsia" w:ascii="Times New Roman"/>
                <w:color w:val="auto"/>
                <w:szCs w:val="23"/>
              </w:rPr>
              <w:t>根据预测计算结果，转运站落地浓度占标率最大的为主城区垃圾转运站排气筒排放污染物</w:t>
            </w:r>
            <w:r>
              <w:rPr>
                <w:rFonts w:hint="eastAsia" w:ascii="Times New Roman"/>
                <w:color w:val="auto"/>
                <w:kern w:val="2"/>
              </w:rPr>
              <w:t>H</w:t>
            </w:r>
            <w:r>
              <w:rPr>
                <w:rFonts w:hint="eastAsia" w:ascii="Times New Roman"/>
                <w:color w:val="auto"/>
                <w:kern w:val="2"/>
                <w:vertAlign w:val="subscript"/>
              </w:rPr>
              <w:t>2</w:t>
            </w:r>
            <w:r>
              <w:rPr>
                <w:rFonts w:hint="eastAsia" w:ascii="Times New Roman"/>
                <w:color w:val="auto"/>
                <w:kern w:val="2"/>
              </w:rPr>
              <w:t>S</w:t>
            </w:r>
            <w:r>
              <w:rPr>
                <w:rFonts w:hint="eastAsia" w:ascii="Times New Roman"/>
                <w:color w:val="auto"/>
                <w:szCs w:val="23"/>
              </w:rPr>
              <w:t>，</w:t>
            </w:r>
            <w:r>
              <w:rPr>
                <w:rFonts w:ascii="Times New Roman" w:cs="Times New Roman"/>
                <w:color w:val="auto"/>
                <w:szCs w:val="23"/>
              </w:rPr>
              <w:t>P</w:t>
            </w:r>
            <w:r>
              <w:rPr>
                <w:rFonts w:ascii="Times New Roman" w:cs="Times New Roman"/>
                <w:color w:val="auto"/>
                <w:szCs w:val="23"/>
                <w:vertAlign w:val="subscript"/>
              </w:rPr>
              <w:t>max</w:t>
            </w:r>
            <w:r>
              <w:rPr>
                <w:rFonts w:hint="eastAsia" w:ascii="Times New Roman"/>
                <w:color w:val="auto"/>
                <w:szCs w:val="23"/>
              </w:rPr>
              <w:t>值为</w:t>
            </w:r>
            <w:r>
              <w:rPr>
                <w:rFonts w:ascii="Times New Roman" w:cs="Times New Roman"/>
                <w:color w:val="auto"/>
                <w:szCs w:val="23"/>
              </w:rPr>
              <w:t>0.98%</w:t>
            </w:r>
            <w:r>
              <w:rPr>
                <w:rFonts w:hint="eastAsia" w:ascii="Times New Roman"/>
                <w:color w:val="auto"/>
                <w:szCs w:val="23"/>
              </w:rPr>
              <w:t>，</w:t>
            </w:r>
            <w:r>
              <w:rPr>
                <w:rFonts w:ascii="Times New Roman" w:cs="Times New Roman"/>
                <w:color w:val="auto"/>
                <w:szCs w:val="23"/>
              </w:rPr>
              <w:t>C</w:t>
            </w:r>
            <w:r>
              <w:rPr>
                <w:rFonts w:ascii="Times New Roman" w:cs="Times New Roman"/>
                <w:color w:val="auto"/>
                <w:szCs w:val="23"/>
                <w:vertAlign w:val="subscript"/>
              </w:rPr>
              <w:t>max</w:t>
            </w:r>
            <w:r>
              <w:rPr>
                <w:rFonts w:hint="eastAsia" w:ascii="Times New Roman"/>
                <w:color w:val="auto"/>
                <w:szCs w:val="23"/>
              </w:rPr>
              <w:t>为</w:t>
            </w:r>
            <w:r>
              <w:rPr>
                <w:rFonts w:ascii="Times New Roman" w:cs="Times New Roman"/>
                <w:color w:val="auto"/>
                <w:szCs w:val="23"/>
              </w:rPr>
              <w:t>0.14μg/m</w:t>
            </w:r>
            <w:r>
              <w:rPr>
                <w:rFonts w:ascii="Times New Roman" w:cs="Times New Roman"/>
                <w:color w:val="auto"/>
                <w:szCs w:val="23"/>
                <w:vertAlign w:val="superscript"/>
              </w:rPr>
              <w:t>3</w:t>
            </w:r>
            <w:r>
              <w:rPr>
                <w:rFonts w:hint="eastAsia" w:ascii="Times New Roman"/>
                <w:color w:val="auto"/>
                <w:szCs w:val="23"/>
              </w:rPr>
              <w:t>，根据《环境影响评价技术导则大气环境》（</w:t>
            </w:r>
            <w:r>
              <w:rPr>
                <w:rFonts w:ascii="Times New Roman" w:cs="Times New Roman"/>
                <w:color w:val="auto"/>
                <w:szCs w:val="23"/>
              </w:rPr>
              <w:t>HJ2.2-2018</w:t>
            </w:r>
            <w:r>
              <w:rPr>
                <w:rFonts w:hint="eastAsia" w:ascii="Times New Roman"/>
                <w:color w:val="auto"/>
                <w:szCs w:val="23"/>
              </w:rPr>
              <w:t>）分级判据，确定本项目大气环境影响评价工作等级三级</w:t>
            </w:r>
            <w:r>
              <w:rPr>
                <w:rFonts w:ascii="Times New Roman"/>
                <w:color w:val="auto"/>
                <w:kern w:val="2"/>
              </w:rPr>
              <w:t>分析预测结果表明，项目对厂区周围大气环境质量的影响不大且影响范围相对较小。</w:t>
            </w:r>
          </w:p>
          <w:p>
            <w:pPr>
              <w:widowControl/>
              <w:spacing w:line="360" w:lineRule="auto"/>
              <w:jc w:val="left"/>
              <w:rPr>
                <w:sz w:val="24"/>
                <w:szCs w:val="24"/>
              </w:rPr>
            </w:pPr>
            <w:r>
              <w:rPr>
                <w:b/>
                <w:sz w:val="24"/>
                <w:szCs w:val="24"/>
              </w:rPr>
              <w:t>卫生防护距离</w:t>
            </w:r>
          </w:p>
          <w:p>
            <w:pPr>
              <w:spacing w:line="360" w:lineRule="auto"/>
              <w:ind w:firstLine="480" w:firstLineChars="200"/>
              <w:rPr>
                <w:sz w:val="24"/>
                <w:szCs w:val="24"/>
              </w:rPr>
            </w:pPr>
            <w:r>
              <w:rPr>
                <w:sz w:val="24"/>
                <w:szCs w:val="24"/>
              </w:rPr>
              <w:t>根据《制定地方大气污染物排放标准的技术方法》（GB/T3840-91）规定，本项目卫生防护距离计算公式如下：</w:t>
            </w:r>
          </w:p>
          <w:p>
            <w:pPr>
              <w:spacing w:line="360" w:lineRule="auto"/>
              <w:jc w:val="center"/>
              <w:rPr>
                <w:sz w:val="24"/>
                <w:szCs w:val="24"/>
              </w:rPr>
            </w:pPr>
            <w:r>
              <w:rPr>
                <w:position w:val="-34"/>
                <w:sz w:val="24"/>
                <w:szCs w:val="24"/>
              </w:rPr>
              <w:object>
                <v:shape id="_x0000_i1027" o:spt="75" type="#_x0000_t75" style="height:34.5pt;width:147pt;" o:ole="t" filled="f" o:preferrelative="t" stroked="f" coordsize="21600,21600">
                  <v:path/>
                  <v:fill on="f" focussize="0,0"/>
                  <v:stroke on="f" joinstyle="miter"/>
                  <v:imagedata r:id="rId26" o:title=""/>
                  <o:lock v:ext="edit" aspectratio="t"/>
                  <w10:wrap type="none"/>
                  <w10:anchorlock/>
                </v:shape>
                <o:OLEObject Type="Embed" ProgID="Equation.3" ShapeID="_x0000_i1027" DrawAspect="Content" ObjectID="_1468075726" r:id="rId25">
                  <o:LockedField>false</o:LockedField>
                </o:OLEObject>
              </w:object>
            </w:r>
          </w:p>
          <w:p>
            <w:pPr>
              <w:spacing w:line="360" w:lineRule="auto"/>
              <w:ind w:left="1200" w:hanging="1200" w:hangingChars="500"/>
              <w:rPr>
                <w:sz w:val="24"/>
                <w:szCs w:val="24"/>
              </w:rPr>
            </w:pPr>
            <w:r>
              <w:rPr>
                <w:sz w:val="24"/>
                <w:szCs w:val="24"/>
              </w:rPr>
              <w:t>式中：C</w:t>
            </w:r>
            <w:r>
              <w:rPr>
                <w:sz w:val="24"/>
                <w:szCs w:val="24"/>
                <w:vertAlign w:val="subscript"/>
              </w:rPr>
              <w:t>m</w:t>
            </w:r>
            <w:r>
              <w:rPr>
                <w:sz w:val="24"/>
                <w:szCs w:val="24"/>
              </w:rPr>
              <w:t>—标准浓度限值，mg/m</w:t>
            </w:r>
            <w:r>
              <w:rPr>
                <w:sz w:val="24"/>
                <w:szCs w:val="24"/>
                <w:vertAlign w:val="superscript"/>
              </w:rPr>
              <w:t>3</w:t>
            </w:r>
            <w:r>
              <w:rPr>
                <w:sz w:val="24"/>
                <w:szCs w:val="24"/>
              </w:rPr>
              <w:t>；</w:t>
            </w:r>
          </w:p>
          <w:p>
            <w:pPr>
              <w:spacing w:line="360" w:lineRule="auto"/>
              <w:ind w:firstLine="480" w:firstLineChars="200"/>
              <w:rPr>
                <w:sz w:val="24"/>
                <w:szCs w:val="24"/>
              </w:rPr>
            </w:pPr>
            <w:r>
              <w:rPr>
                <w:sz w:val="24"/>
                <w:szCs w:val="24"/>
              </w:rPr>
              <w:t xml:space="preserve">  L—工业企业所需的卫生防护距离，m；</w:t>
            </w:r>
          </w:p>
          <w:p>
            <w:pPr>
              <w:spacing w:line="360" w:lineRule="auto"/>
              <w:ind w:firstLine="480" w:firstLineChars="200"/>
              <w:rPr>
                <w:sz w:val="24"/>
                <w:szCs w:val="24"/>
              </w:rPr>
            </w:pPr>
            <w:r>
              <w:rPr>
                <w:sz w:val="24"/>
                <w:szCs w:val="24"/>
              </w:rPr>
              <w:t xml:space="preserve">  r—有害气体无组织排放源所在生产单元的等效半径，m；</w:t>
            </w:r>
          </w:p>
          <w:p>
            <w:pPr>
              <w:spacing w:line="360" w:lineRule="auto"/>
              <w:ind w:firstLine="480" w:firstLineChars="200"/>
              <w:rPr>
                <w:sz w:val="24"/>
                <w:szCs w:val="24"/>
              </w:rPr>
            </w:pPr>
            <w:r>
              <w:rPr>
                <w:sz w:val="24"/>
                <w:szCs w:val="24"/>
              </w:rPr>
              <w:t xml:space="preserve">  A，B，C，D—卫生防护距离计算系数，与所在地区近五年的平均风速及污染源构成类型有关，具体数值取自《制定地方大气污染物排放标准的技术方法》（GB/T3840-91）中表5。</w:t>
            </w:r>
          </w:p>
          <w:p>
            <w:pPr>
              <w:spacing w:line="360" w:lineRule="auto"/>
              <w:ind w:firstLine="480" w:firstLineChars="200"/>
              <w:rPr>
                <w:sz w:val="24"/>
                <w:szCs w:val="24"/>
              </w:rPr>
            </w:pPr>
            <w:r>
              <w:rPr>
                <w:sz w:val="24"/>
                <w:szCs w:val="24"/>
              </w:rPr>
              <w:t xml:space="preserve">  Q</w:t>
            </w:r>
            <w:r>
              <w:rPr>
                <w:sz w:val="24"/>
                <w:szCs w:val="24"/>
                <w:vertAlign w:val="subscript"/>
              </w:rPr>
              <w:t>c</w:t>
            </w:r>
            <w:r>
              <w:rPr>
                <w:sz w:val="24"/>
                <w:szCs w:val="24"/>
              </w:rPr>
              <w:t>—工业企业有害气体无组织排放量可以达到的控制水平，kg/h。</w:t>
            </w:r>
          </w:p>
          <w:p>
            <w:pPr>
              <w:widowControl/>
              <w:spacing w:line="360" w:lineRule="auto"/>
              <w:ind w:firstLine="480" w:firstLineChars="200"/>
              <w:jc w:val="left"/>
              <w:rPr>
                <w:sz w:val="24"/>
                <w:szCs w:val="24"/>
              </w:rPr>
            </w:pPr>
            <w:r>
              <w:rPr>
                <w:sz w:val="24"/>
                <w:szCs w:val="24"/>
              </w:rPr>
              <w:t>本项目卫生防护距离源项选取计算参数见表32</w:t>
            </w:r>
            <w:r>
              <w:rPr>
                <w:rFonts w:hint="eastAsia"/>
                <w:sz w:val="24"/>
                <w:szCs w:val="24"/>
              </w:rPr>
              <w:t>及表</w:t>
            </w:r>
            <w:r>
              <w:rPr>
                <w:sz w:val="24"/>
                <w:szCs w:val="24"/>
              </w:rPr>
              <w:t>33。</w:t>
            </w:r>
          </w:p>
          <w:p>
            <w:pPr>
              <w:spacing w:line="360" w:lineRule="auto"/>
              <w:jc w:val="center"/>
              <w:rPr>
                <w:sz w:val="24"/>
                <w:szCs w:val="24"/>
              </w:rPr>
            </w:pPr>
            <w:r>
              <w:rPr>
                <w:sz w:val="24"/>
                <w:szCs w:val="24"/>
              </w:rPr>
              <w:t xml:space="preserve">表32 </w:t>
            </w:r>
            <w:r>
              <w:rPr>
                <w:rFonts w:hint="eastAsia"/>
                <w:sz w:val="24"/>
                <w:szCs w:val="24"/>
              </w:rPr>
              <w:t>主城区垃圾转运站</w:t>
            </w:r>
            <w:r>
              <w:rPr>
                <w:sz w:val="24"/>
                <w:szCs w:val="24"/>
              </w:rPr>
              <w:t>卫生防护距离计算参数及计算结果</w:t>
            </w:r>
          </w:p>
          <w:tbl>
            <w:tblPr>
              <w:tblStyle w:val="27"/>
              <w:tblW w:w="8256" w:type="dxa"/>
              <w:jc w:val="center"/>
              <w:tblBorders>
                <w:top w:val="single" w:color="auto" w:sz="2" w:space="0"/>
                <w:left w:val="none" w:color="auto" w:sz="0" w:space="0"/>
                <w:bottom w:val="single" w:color="auto" w:sz="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08"/>
              <w:gridCol w:w="862"/>
              <w:gridCol w:w="991"/>
              <w:gridCol w:w="636"/>
              <w:gridCol w:w="998"/>
              <w:gridCol w:w="721"/>
              <w:gridCol w:w="574"/>
              <w:gridCol w:w="674"/>
              <w:gridCol w:w="634"/>
              <w:gridCol w:w="648"/>
              <w:gridCol w:w="910"/>
            </w:tblGrid>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dxa"/>
                  <w:vMerge w:val="restart"/>
                  <w:vAlign w:val="center"/>
                </w:tcPr>
                <w:p>
                  <w:pPr>
                    <w:snapToGrid w:val="0"/>
                    <w:spacing w:line="240" w:lineRule="auto"/>
                    <w:jc w:val="center"/>
                    <w:rPr>
                      <w:szCs w:val="21"/>
                    </w:rPr>
                  </w:pPr>
                  <w:r>
                    <w:rPr>
                      <w:rFonts w:hint="eastAsia"/>
                      <w:szCs w:val="21"/>
                    </w:rPr>
                    <w:t>车间</w:t>
                  </w:r>
                </w:p>
              </w:tc>
              <w:tc>
                <w:tcPr>
                  <w:tcW w:w="869" w:type="dxa"/>
                  <w:vMerge w:val="restart"/>
                  <w:vAlign w:val="center"/>
                </w:tcPr>
                <w:p>
                  <w:pPr>
                    <w:snapToGrid w:val="0"/>
                    <w:spacing w:line="240" w:lineRule="auto"/>
                    <w:jc w:val="center"/>
                    <w:rPr>
                      <w:szCs w:val="21"/>
                    </w:rPr>
                  </w:pPr>
                  <w:r>
                    <w:rPr>
                      <w:szCs w:val="21"/>
                    </w:rPr>
                    <w:t>项目</w:t>
                  </w:r>
                </w:p>
              </w:tc>
              <w:tc>
                <w:tcPr>
                  <w:tcW w:w="2604" w:type="dxa"/>
                  <w:gridSpan w:val="3"/>
                  <w:vAlign w:val="center"/>
                </w:tcPr>
                <w:p>
                  <w:pPr>
                    <w:pStyle w:val="85"/>
                    <w:overflowPunct/>
                    <w:topLinePunct w:val="0"/>
                    <w:autoSpaceDE/>
                    <w:autoSpaceDN/>
                    <w:adjustRightInd/>
                    <w:snapToGrid/>
                    <w:spacing w:line="240" w:lineRule="auto"/>
                    <w:textAlignment w:val="auto"/>
                    <w:rPr>
                      <w:spacing w:val="0"/>
                      <w:szCs w:val="21"/>
                    </w:rPr>
                  </w:pPr>
                  <w:r>
                    <w:rPr>
                      <w:spacing w:val="0"/>
                      <w:szCs w:val="21"/>
                    </w:rPr>
                    <w:t>源强特征</w:t>
                  </w:r>
                </w:p>
              </w:tc>
              <w:tc>
                <w:tcPr>
                  <w:tcW w:w="722" w:type="dxa"/>
                  <w:vMerge w:val="restart"/>
                  <w:vAlign w:val="center"/>
                </w:tcPr>
                <w:p>
                  <w:pPr>
                    <w:spacing w:line="240" w:lineRule="auto"/>
                    <w:jc w:val="center"/>
                    <w:rPr>
                      <w:szCs w:val="21"/>
                    </w:rPr>
                  </w:pPr>
                  <w:r>
                    <w:rPr>
                      <w:szCs w:val="21"/>
                    </w:rPr>
                    <w:t>平均</w:t>
                  </w:r>
                </w:p>
                <w:p>
                  <w:pPr>
                    <w:spacing w:line="240" w:lineRule="auto"/>
                    <w:jc w:val="center"/>
                    <w:rPr>
                      <w:szCs w:val="21"/>
                    </w:rPr>
                  </w:pPr>
                  <w:r>
                    <w:rPr>
                      <w:szCs w:val="21"/>
                    </w:rPr>
                    <w:t>风速</w:t>
                  </w:r>
                </w:p>
                <w:p>
                  <w:pPr>
                    <w:spacing w:line="240" w:lineRule="auto"/>
                    <w:jc w:val="center"/>
                    <w:rPr>
                      <w:szCs w:val="21"/>
                    </w:rPr>
                  </w:pPr>
                  <w:r>
                    <w:rPr>
                      <w:szCs w:val="21"/>
                    </w:rPr>
                    <w:t>(m/s)</w:t>
                  </w:r>
                </w:p>
              </w:tc>
              <w:tc>
                <w:tcPr>
                  <w:tcW w:w="2536" w:type="dxa"/>
                  <w:gridSpan w:val="4"/>
                  <w:vAlign w:val="center"/>
                </w:tcPr>
                <w:p>
                  <w:pPr>
                    <w:spacing w:line="240" w:lineRule="auto"/>
                    <w:jc w:val="center"/>
                    <w:rPr>
                      <w:szCs w:val="21"/>
                    </w:rPr>
                  </w:pPr>
                  <w:r>
                    <w:rPr>
                      <w:szCs w:val="21"/>
                    </w:rPr>
                    <w:t>计算系数</w:t>
                  </w:r>
                </w:p>
              </w:tc>
              <w:tc>
                <w:tcPr>
                  <w:tcW w:w="913" w:type="dxa"/>
                  <w:vMerge w:val="restart"/>
                  <w:vAlign w:val="center"/>
                </w:tcPr>
                <w:p>
                  <w:pPr>
                    <w:spacing w:line="240" w:lineRule="auto"/>
                    <w:jc w:val="center"/>
                    <w:rPr>
                      <w:szCs w:val="21"/>
                    </w:rPr>
                  </w:pPr>
                  <w:r>
                    <w:rPr>
                      <w:szCs w:val="21"/>
                    </w:rPr>
                    <w:t>卫生防护距离计算(m)</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dxa"/>
                  <w:vMerge w:val="continue"/>
                  <w:vAlign w:val="center"/>
                </w:tcPr>
                <w:p>
                  <w:pPr>
                    <w:snapToGrid w:val="0"/>
                    <w:spacing w:line="240" w:lineRule="auto"/>
                    <w:jc w:val="center"/>
                    <w:rPr>
                      <w:szCs w:val="21"/>
                    </w:rPr>
                  </w:pPr>
                </w:p>
              </w:tc>
              <w:tc>
                <w:tcPr>
                  <w:tcW w:w="869" w:type="dxa"/>
                  <w:vMerge w:val="continue"/>
                  <w:vAlign w:val="center"/>
                </w:tcPr>
                <w:p>
                  <w:pPr>
                    <w:snapToGrid w:val="0"/>
                    <w:spacing w:line="240" w:lineRule="auto"/>
                    <w:jc w:val="center"/>
                    <w:rPr>
                      <w:szCs w:val="21"/>
                    </w:rPr>
                  </w:pPr>
                </w:p>
              </w:tc>
              <w:tc>
                <w:tcPr>
                  <w:tcW w:w="996" w:type="dxa"/>
                  <w:vAlign w:val="center"/>
                </w:tcPr>
                <w:p>
                  <w:pPr>
                    <w:snapToGrid w:val="0"/>
                    <w:spacing w:line="240" w:lineRule="auto"/>
                    <w:jc w:val="center"/>
                    <w:rPr>
                      <w:szCs w:val="21"/>
                    </w:rPr>
                  </w:pPr>
                  <w:r>
                    <w:rPr>
                      <w:szCs w:val="21"/>
                    </w:rPr>
                    <w:t>源强</w:t>
                  </w:r>
                </w:p>
                <w:p>
                  <w:pPr>
                    <w:snapToGrid w:val="0"/>
                    <w:spacing w:line="240" w:lineRule="auto"/>
                    <w:jc w:val="center"/>
                    <w:rPr>
                      <w:szCs w:val="21"/>
                    </w:rPr>
                  </w:pPr>
                  <w:r>
                    <w:rPr>
                      <w:szCs w:val="21"/>
                    </w:rPr>
                    <w:t>(kg/h)</w:t>
                  </w:r>
                </w:p>
              </w:tc>
              <w:tc>
                <w:tcPr>
                  <w:tcW w:w="598" w:type="dxa"/>
                  <w:vAlign w:val="center"/>
                </w:tcPr>
                <w:p>
                  <w:pPr>
                    <w:snapToGrid w:val="0"/>
                    <w:spacing w:line="240" w:lineRule="auto"/>
                    <w:jc w:val="center"/>
                    <w:rPr>
                      <w:szCs w:val="21"/>
                    </w:rPr>
                  </w:pPr>
                  <w:r>
                    <w:rPr>
                      <w:szCs w:val="21"/>
                    </w:rPr>
                    <w:t>面积</w:t>
                  </w:r>
                </w:p>
                <w:p>
                  <w:pPr>
                    <w:snapToGrid w:val="0"/>
                    <w:spacing w:line="240" w:lineRule="auto"/>
                    <w:jc w:val="center"/>
                    <w:rPr>
                      <w:szCs w:val="21"/>
                    </w:rPr>
                  </w:pPr>
                  <w:r>
                    <w:rPr>
                      <w:szCs w:val="21"/>
                    </w:rPr>
                    <w:t>(m</w:t>
                  </w:r>
                  <w:r>
                    <w:rPr>
                      <w:szCs w:val="21"/>
                      <w:vertAlign w:val="superscript"/>
                    </w:rPr>
                    <w:t>2</w:t>
                  </w:r>
                  <w:r>
                    <w:rPr>
                      <w:szCs w:val="21"/>
                    </w:rPr>
                    <w:t>)</w:t>
                  </w:r>
                </w:p>
              </w:tc>
              <w:tc>
                <w:tcPr>
                  <w:tcW w:w="1010" w:type="dxa"/>
                  <w:vAlign w:val="center"/>
                </w:tcPr>
                <w:p>
                  <w:pPr>
                    <w:snapToGrid w:val="0"/>
                    <w:spacing w:line="240" w:lineRule="auto"/>
                    <w:jc w:val="center"/>
                    <w:rPr>
                      <w:szCs w:val="21"/>
                    </w:rPr>
                  </w:pPr>
                  <w:r>
                    <w:rPr>
                      <w:szCs w:val="21"/>
                    </w:rPr>
                    <w:t>排放平均高度(m)</w:t>
                  </w:r>
                </w:p>
              </w:tc>
              <w:tc>
                <w:tcPr>
                  <w:tcW w:w="722" w:type="dxa"/>
                  <w:vMerge w:val="continue"/>
                  <w:vAlign w:val="center"/>
                </w:tcPr>
                <w:p>
                  <w:pPr>
                    <w:snapToGrid w:val="0"/>
                    <w:spacing w:line="240" w:lineRule="auto"/>
                    <w:jc w:val="center"/>
                    <w:rPr>
                      <w:szCs w:val="21"/>
                    </w:rPr>
                  </w:pPr>
                </w:p>
              </w:tc>
              <w:tc>
                <w:tcPr>
                  <w:tcW w:w="575" w:type="dxa"/>
                  <w:vAlign w:val="center"/>
                </w:tcPr>
                <w:p>
                  <w:pPr>
                    <w:snapToGrid w:val="0"/>
                    <w:spacing w:line="240" w:lineRule="auto"/>
                    <w:jc w:val="center"/>
                    <w:rPr>
                      <w:szCs w:val="21"/>
                    </w:rPr>
                  </w:pPr>
                  <w:r>
                    <w:rPr>
                      <w:szCs w:val="21"/>
                    </w:rPr>
                    <w:t>A</w:t>
                  </w:r>
                </w:p>
              </w:tc>
              <w:tc>
                <w:tcPr>
                  <w:tcW w:w="676" w:type="dxa"/>
                  <w:vAlign w:val="center"/>
                </w:tcPr>
                <w:p>
                  <w:pPr>
                    <w:snapToGrid w:val="0"/>
                    <w:spacing w:line="240" w:lineRule="auto"/>
                    <w:jc w:val="center"/>
                    <w:rPr>
                      <w:szCs w:val="21"/>
                    </w:rPr>
                  </w:pPr>
                  <w:r>
                    <w:rPr>
                      <w:szCs w:val="21"/>
                    </w:rPr>
                    <w:t>B</w:t>
                  </w:r>
                </w:p>
              </w:tc>
              <w:tc>
                <w:tcPr>
                  <w:tcW w:w="635" w:type="dxa"/>
                  <w:vAlign w:val="center"/>
                </w:tcPr>
                <w:p>
                  <w:pPr>
                    <w:snapToGrid w:val="0"/>
                    <w:spacing w:line="240" w:lineRule="auto"/>
                    <w:jc w:val="center"/>
                    <w:rPr>
                      <w:szCs w:val="21"/>
                    </w:rPr>
                  </w:pPr>
                  <w:r>
                    <w:rPr>
                      <w:szCs w:val="21"/>
                    </w:rPr>
                    <w:t>C</w:t>
                  </w:r>
                </w:p>
              </w:tc>
              <w:tc>
                <w:tcPr>
                  <w:tcW w:w="650" w:type="dxa"/>
                  <w:vAlign w:val="center"/>
                </w:tcPr>
                <w:p>
                  <w:pPr>
                    <w:snapToGrid w:val="0"/>
                    <w:spacing w:line="240" w:lineRule="auto"/>
                    <w:jc w:val="center"/>
                    <w:rPr>
                      <w:szCs w:val="21"/>
                    </w:rPr>
                  </w:pPr>
                  <w:r>
                    <w:rPr>
                      <w:szCs w:val="21"/>
                    </w:rPr>
                    <w:t>D</w:t>
                  </w:r>
                </w:p>
              </w:tc>
              <w:tc>
                <w:tcPr>
                  <w:tcW w:w="913" w:type="dxa"/>
                  <w:vMerge w:val="continue"/>
                  <w:vAlign w:val="center"/>
                </w:tcPr>
                <w:p>
                  <w:pPr>
                    <w:snapToGrid w:val="0"/>
                    <w:spacing w:line="360" w:lineRule="auto"/>
                    <w:jc w:val="center"/>
                    <w:rPr>
                      <w:szCs w:val="21"/>
                    </w:rPr>
                  </w:pP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612" w:type="dxa"/>
                  <w:vMerge w:val="restart"/>
                  <w:vAlign w:val="center"/>
                </w:tcPr>
                <w:p>
                  <w:pPr>
                    <w:snapToGrid w:val="0"/>
                    <w:spacing w:line="240" w:lineRule="auto"/>
                    <w:jc w:val="center"/>
                    <w:rPr>
                      <w:szCs w:val="21"/>
                    </w:rPr>
                  </w:pPr>
                  <w:r>
                    <w:rPr>
                      <w:rFonts w:hint="eastAsia"/>
                      <w:szCs w:val="21"/>
                    </w:rPr>
                    <w:t>压缩</w:t>
                  </w:r>
                  <w:r>
                    <w:rPr>
                      <w:szCs w:val="21"/>
                    </w:rPr>
                    <w:t>车间</w:t>
                  </w:r>
                </w:p>
              </w:tc>
              <w:tc>
                <w:tcPr>
                  <w:tcW w:w="869" w:type="dxa"/>
                  <w:vAlign w:val="center"/>
                </w:tcPr>
                <w:p>
                  <w:pPr>
                    <w:snapToGrid w:val="0"/>
                    <w:spacing w:line="360" w:lineRule="auto"/>
                    <w:jc w:val="center"/>
                    <w:rPr>
                      <w:szCs w:val="21"/>
                    </w:rPr>
                  </w:pPr>
                  <w:r>
                    <w:rPr>
                      <w:rFonts w:hint="eastAsia"/>
                      <w:kern w:val="2"/>
                      <w:szCs w:val="21"/>
                    </w:rPr>
                    <w:t>NH</w:t>
                  </w:r>
                  <w:r>
                    <w:rPr>
                      <w:rFonts w:hint="eastAsia"/>
                      <w:kern w:val="2"/>
                      <w:szCs w:val="21"/>
                      <w:vertAlign w:val="subscript"/>
                    </w:rPr>
                    <w:t>3</w:t>
                  </w:r>
                </w:p>
              </w:tc>
              <w:tc>
                <w:tcPr>
                  <w:tcW w:w="996" w:type="dxa"/>
                  <w:vAlign w:val="center"/>
                </w:tcPr>
                <w:p>
                  <w:pPr>
                    <w:autoSpaceDE w:val="0"/>
                    <w:autoSpaceDN w:val="0"/>
                    <w:spacing w:line="360" w:lineRule="auto"/>
                    <w:textAlignment w:val="auto"/>
                    <w:rPr>
                      <w:rFonts w:cs="宋体"/>
                      <w:szCs w:val="21"/>
                    </w:rPr>
                  </w:pPr>
                  <w:r>
                    <w:rPr>
                      <w:rFonts w:cs="宋体"/>
                      <w:szCs w:val="21"/>
                    </w:rPr>
                    <w:t>0.0454</w:t>
                  </w:r>
                </w:p>
              </w:tc>
              <w:tc>
                <w:tcPr>
                  <w:tcW w:w="598" w:type="dxa"/>
                  <w:vMerge w:val="restart"/>
                  <w:vAlign w:val="center"/>
                </w:tcPr>
                <w:p>
                  <w:pPr>
                    <w:snapToGrid w:val="0"/>
                    <w:spacing w:line="360" w:lineRule="auto"/>
                    <w:jc w:val="center"/>
                    <w:rPr>
                      <w:szCs w:val="21"/>
                    </w:rPr>
                  </w:pPr>
                  <w:r>
                    <w:rPr>
                      <w:rFonts w:hint="eastAsia"/>
                      <w:szCs w:val="21"/>
                    </w:rPr>
                    <w:t>1</w:t>
                  </w:r>
                  <w:r>
                    <w:rPr>
                      <w:szCs w:val="21"/>
                    </w:rPr>
                    <w:t>150</w:t>
                  </w:r>
                </w:p>
              </w:tc>
              <w:tc>
                <w:tcPr>
                  <w:tcW w:w="1010" w:type="dxa"/>
                  <w:vMerge w:val="restart"/>
                  <w:vAlign w:val="center"/>
                </w:tcPr>
                <w:p>
                  <w:pPr>
                    <w:snapToGrid w:val="0"/>
                    <w:spacing w:line="360" w:lineRule="auto"/>
                    <w:jc w:val="center"/>
                    <w:rPr>
                      <w:szCs w:val="21"/>
                    </w:rPr>
                  </w:pPr>
                  <w:r>
                    <w:rPr>
                      <w:szCs w:val="21"/>
                    </w:rPr>
                    <w:t>9</w:t>
                  </w:r>
                </w:p>
              </w:tc>
              <w:tc>
                <w:tcPr>
                  <w:tcW w:w="722" w:type="dxa"/>
                  <w:vMerge w:val="restart"/>
                  <w:vAlign w:val="center"/>
                </w:tcPr>
                <w:p>
                  <w:pPr>
                    <w:snapToGrid w:val="0"/>
                    <w:spacing w:line="360" w:lineRule="auto"/>
                    <w:jc w:val="center"/>
                    <w:rPr>
                      <w:szCs w:val="21"/>
                    </w:rPr>
                  </w:pPr>
                  <w:r>
                    <w:rPr>
                      <w:szCs w:val="21"/>
                    </w:rPr>
                    <w:t>1.3</w:t>
                  </w:r>
                </w:p>
              </w:tc>
              <w:tc>
                <w:tcPr>
                  <w:tcW w:w="575" w:type="dxa"/>
                  <w:vMerge w:val="restart"/>
                  <w:vAlign w:val="center"/>
                </w:tcPr>
                <w:p>
                  <w:pPr>
                    <w:snapToGrid w:val="0"/>
                    <w:spacing w:line="360" w:lineRule="auto"/>
                    <w:jc w:val="center"/>
                    <w:rPr>
                      <w:szCs w:val="21"/>
                    </w:rPr>
                  </w:pPr>
                  <w:r>
                    <w:rPr>
                      <w:szCs w:val="21"/>
                    </w:rPr>
                    <w:t>400</w:t>
                  </w:r>
                </w:p>
              </w:tc>
              <w:tc>
                <w:tcPr>
                  <w:tcW w:w="676" w:type="dxa"/>
                  <w:vMerge w:val="restart"/>
                  <w:vAlign w:val="center"/>
                </w:tcPr>
                <w:p>
                  <w:pPr>
                    <w:snapToGrid w:val="0"/>
                    <w:spacing w:line="360" w:lineRule="auto"/>
                    <w:jc w:val="center"/>
                    <w:rPr>
                      <w:szCs w:val="21"/>
                    </w:rPr>
                  </w:pPr>
                  <w:r>
                    <w:rPr>
                      <w:szCs w:val="21"/>
                    </w:rPr>
                    <w:t>0.01</w:t>
                  </w:r>
                </w:p>
              </w:tc>
              <w:tc>
                <w:tcPr>
                  <w:tcW w:w="635" w:type="dxa"/>
                  <w:vMerge w:val="restart"/>
                  <w:vAlign w:val="center"/>
                </w:tcPr>
                <w:p>
                  <w:pPr>
                    <w:snapToGrid w:val="0"/>
                    <w:spacing w:line="360" w:lineRule="auto"/>
                    <w:jc w:val="center"/>
                    <w:rPr>
                      <w:szCs w:val="21"/>
                    </w:rPr>
                  </w:pPr>
                  <w:r>
                    <w:rPr>
                      <w:szCs w:val="21"/>
                    </w:rPr>
                    <w:t>1.85</w:t>
                  </w:r>
                </w:p>
              </w:tc>
              <w:tc>
                <w:tcPr>
                  <w:tcW w:w="650" w:type="dxa"/>
                  <w:vMerge w:val="restart"/>
                  <w:vAlign w:val="center"/>
                </w:tcPr>
                <w:p>
                  <w:pPr>
                    <w:snapToGrid w:val="0"/>
                    <w:spacing w:line="360" w:lineRule="auto"/>
                    <w:jc w:val="center"/>
                    <w:rPr>
                      <w:szCs w:val="21"/>
                    </w:rPr>
                  </w:pPr>
                  <w:r>
                    <w:rPr>
                      <w:szCs w:val="21"/>
                    </w:rPr>
                    <w:t>0.78</w:t>
                  </w:r>
                </w:p>
              </w:tc>
              <w:tc>
                <w:tcPr>
                  <w:tcW w:w="913" w:type="dxa"/>
                  <w:vAlign w:val="center"/>
                </w:tcPr>
                <w:p>
                  <w:pPr>
                    <w:spacing w:line="360" w:lineRule="auto"/>
                    <w:jc w:val="center"/>
                    <w:rPr>
                      <w:szCs w:val="21"/>
                    </w:rPr>
                  </w:pPr>
                  <w:r>
                    <w:rPr>
                      <w:rFonts w:hint="eastAsia"/>
                      <w:szCs w:val="21"/>
                    </w:rPr>
                    <w:t>1</w:t>
                  </w:r>
                  <w:r>
                    <w:rPr>
                      <w:szCs w:val="21"/>
                    </w:rPr>
                    <w:t>7.657</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612" w:type="dxa"/>
                  <w:vMerge w:val="continue"/>
                  <w:vAlign w:val="center"/>
                </w:tcPr>
                <w:p>
                  <w:pPr>
                    <w:snapToGrid w:val="0"/>
                    <w:spacing w:line="360" w:lineRule="auto"/>
                    <w:jc w:val="center"/>
                    <w:rPr>
                      <w:szCs w:val="21"/>
                    </w:rPr>
                  </w:pPr>
                </w:p>
              </w:tc>
              <w:tc>
                <w:tcPr>
                  <w:tcW w:w="869" w:type="dxa"/>
                  <w:vAlign w:val="center"/>
                </w:tcPr>
                <w:p>
                  <w:pPr>
                    <w:snapToGrid w:val="0"/>
                    <w:spacing w:line="360" w:lineRule="auto"/>
                    <w:jc w:val="center"/>
                    <w:rPr>
                      <w:szCs w:val="21"/>
                    </w:rPr>
                  </w:pPr>
                  <w:r>
                    <w:rPr>
                      <w:rFonts w:hint="eastAsia"/>
                      <w:kern w:val="2"/>
                      <w:szCs w:val="21"/>
                    </w:rPr>
                    <w:t>H</w:t>
                  </w:r>
                  <w:r>
                    <w:rPr>
                      <w:rFonts w:hint="eastAsia"/>
                      <w:kern w:val="2"/>
                      <w:szCs w:val="21"/>
                      <w:vertAlign w:val="subscript"/>
                    </w:rPr>
                    <w:t>2</w:t>
                  </w:r>
                  <w:r>
                    <w:rPr>
                      <w:rFonts w:hint="eastAsia"/>
                      <w:kern w:val="2"/>
                      <w:szCs w:val="21"/>
                    </w:rPr>
                    <w:t>S</w:t>
                  </w:r>
                </w:p>
              </w:tc>
              <w:tc>
                <w:tcPr>
                  <w:tcW w:w="996" w:type="dxa"/>
                  <w:vAlign w:val="center"/>
                </w:tcPr>
                <w:p>
                  <w:pPr>
                    <w:autoSpaceDE w:val="0"/>
                    <w:autoSpaceDN w:val="0"/>
                    <w:spacing w:line="360" w:lineRule="auto"/>
                    <w:textAlignment w:val="auto"/>
                    <w:rPr>
                      <w:rFonts w:cs="宋体"/>
                      <w:szCs w:val="21"/>
                    </w:rPr>
                  </w:pPr>
                  <w:r>
                    <w:rPr>
                      <w:rFonts w:cs="宋体"/>
                      <w:szCs w:val="21"/>
                    </w:rPr>
                    <w:t>0.0046</w:t>
                  </w:r>
                </w:p>
              </w:tc>
              <w:tc>
                <w:tcPr>
                  <w:tcW w:w="598" w:type="dxa"/>
                  <w:vMerge w:val="continue"/>
                  <w:vAlign w:val="center"/>
                </w:tcPr>
                <w:p>
                  <w:pPr>
                    <w:snapToGrid w:val="0"/>
                    <w:spacing w:line="360" w:lineRule="auto"/>
                    <w:jc w:val="center"/>
                    <w:rPr>
                      <w:szCs w:val="21"/>
                    </w:rPr>
                  </w:pPr>
                </w:p>
              </w:tc>
              <w:tc>
                <w:tcPr>
                  <w:tcW w:w="1010" w:type="dxa"/>
                  <w:vMerge w:val="continue"/>
                  <w:vAlign w:val="center"/>
                </w:tcPr>
                <w:p>
                  <w:pPr>
                    <w:snapToGrid w:val="0"/>
                    <w:spacing w:line="360" w:lineRule="auto"/>
                    <w:jc w:val="center"/>
                    <w:rPr>
                      <w:szCs w:val="21"/>
                    </w:rPr>
                  </w:pPr>
                </w:p>
              </w:tc>
              <w:tc>
                <w:tcPr>
                  <w:tcW w:w="722" w:type="dxa"/>
                  <w:vMerge w:val="continue"/>
                  <w:vAlign w:val="center"/>
                </w:tcPr>
                <w:p>
                  <w:pPr>
                    <w:snapToGrid w:val="0"/>
                    <w:spacing w:line="360" w:lineRule="auto"/>
                    <w:jc w:val="center"/>
                    <w:rPr>
                      <w:szCs w:val="21"/>
                    </w:rPr>
                  </w:pPr>
                </w:p>
              </w:tc>
              <w:tc>
                <w:tcPr>
                  <w:tcW w:w="575" w:type="dxa"/>
                  <w:vMerge w:val="continue"/>
                  <w:vAlign w:val="center"/>
                </w:tcPr>
                <w:p>
                  <w:pPr>
                    <w:snapToGrid w:val="0"/>
                    <w:spacing w:line="360" w:lineRule="auto"/>
                    <w:jc w:val="center"/>
                    <w:rPr>
                      <w:szCs w:val="21"/>
                    </w:rPr>
                  </w:pPr>
                </w:p>
              </w:tc>
              <w:tc>
                <w:tcPr>
                  <w:tcW w:w="676" w:type="dxa"/>
                  <w:vMerge w:val="continue"/>
                  <w:vAlign w:val="center"/>
                </w:tcPr>
                <w:p>
                  <w:pPr>
                    <w:snapToGrid w:val="0"/>
                    <w:spacing w:line="360" w:lineRule="auto"/>
                    <w:jc w:val="center"/>
                    <w:rPr>
                      <w:szCs w:val="21"/>
                    </w:rPr>
                  </w:pPr>
                </w:p>
              </w:tc>
              <w:tc>
                <w:tcPr>
                  <w:tcW w:w="635" w:type="dxa"/>
                  <w:vMerge w:val="continue"/>
                  <w:vAlign w:val="center"/>
                </w:tcPr>
                <w:p>
                  <w:pPr>
                    <w:snapToGrid w:val="0"/>
                    <w:spacing w:line="360" w:lineRule="auto"/>
                    <w:jc w:val="center"/>
                    <w:rPr>
                      <w:szCs w:val="21"/>
                    </w:rPr>
                  </w:pPr>
                </w:p>
              </w:tc>
              <w:tc>
                <w:tcPr>
                  <w:tcW w:w="650" w:type="dxa"/>
                  <w:vMerge w:val="continue"/>
                  <w:vAlign w:val="center"/>
                </w:tcPr>
                <w:p>
                  <w:pPr>
                    <w:snapToGrid w:val="0"/>
                    <w:spacing w:line="360" w:lineRule="auto"/>
                    <w:jc w:val="center"/>
                    <w:rPr>
                      <w:szCs w:val="21"/>
                    </w:rPr>
                  </w:pPr>
                </w:p>
              </w:tc>
              <w:tc>
                <w:tcPr>
                  <w:tcW w:w="913" w:type="dxa"/>
                  <w:vAlign w:val="center"/>
                </w:tcPr>
                <w:p>
                  <w:pPr>
                    <w:spacing w:line="360" w:lineRule="auto"/>
                    <w:jc w:val="center"/>
                    <w:rPr>
                      <w:szCs w:val="21"/>
                    </w:rPr>
                  </w:pPr>
                  <w:r>
                    <w:rPr>
                      <w:rFonts w:hint="eastAsia"/>
                      <w:szCs w:val="21"/>
                    </w:rPr>
                    <w:t>4</w:t>
                  </w:r>
                  <w:r>
                    <w:rPr>
                      <w:szCs w:val="21"/>
                    </w:rPr>
                    <w:t>1.478</w:t>
                  </w:r>
                </w:p>
              </w:tc>
            </w:tr>
          </w:tbl>
          <w:p>
            <w:pPr>
              <w:spacing w:line="360" w:lineRule="auto"/>
              <w:jc w:val="center"/>
              <w:rPr>
                <w:sz w:val="24"/>
                <w:szCs w:val="24"/>
              </w:rPr>
            </w:pPr>
            <w:r>
              <w:rPr>
                <w:sz w:val="24"/>
                <w:szCs w:val="24"/>
              </w:rPr>
              <w:t xml:space="preserve">表33 </w:t>
            </w:r>
            <w:r>
              <w:rPr>
                <w:rFonts w:hint="eastAsia"/>
                <w:sz w:val="24"/>
                <w:szCs w:val="24"/>
              </w:rPr>
              <w:t>寿王坟镇垃圾转运站</w:t>
            </w:r>
            <w:r>
              <w:rPr>
                <w:sz w:val="24"/>
                <w:szCs w:val="24"/>
              </w:rPr>
              <w:t>卫生防护距离计算参数及计算结果</w:t>
            </w:r>
          </w:p>
          <w:tbl>
            <w:tblPr>
              <w:tblStyle w:val="27"/>
              <w:tblW w:w="8256" w:type="dxa"/>
              <w:jc w:val="center"/>
              <w:tblBorders>
                <w:top w:val="single" w:color="auto" w:sz="2" w:space="0"/>
                <w:left w:val="none" w:color="auto" w:sz="0" w:space="0"/>
                <w:bottom w:val="single" w:color="auto" w:sz="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00"/>
              <w:gridCol w:w="859"/>
              <w:gridCol w:w="1004"/>
              <w:gridCol w:w="645"/>
              <w:gridCol w:w="996"/>
              <w:gridCol w:w="723"/>
              <w:gridCol w:w="576"/>
              <w:gridCol w:w="665"/>
              <w:gridCol w:w="636"/>
              <w:gridCol w:w="655"/>
              <w:gridCol w:w="897"/>
            </w:tblGrid>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dxa"/>
                  <w:vMerge w:val="restart"/>
                  <w:vAlign w:val="center"/>
                </w:tcPr>
                <w:p>
                  <w:pPr>
                    <w:snapToGrid w:val="0"/>
                    <w:spacing w:line="240" w:lineRule="auto"/>
                    <w:jc w:val="center"/>
                    <w:rPr>
                      <w:szCs w:val="21"/>
                    </w:rPr>
                  </w:pPr>
                  <w:r>
                    <w:rPr>
                      <w:rFonts w:hint="eastAsia"/>
                      <w:szCs w:val="21"/>
                    </w:rPr>
                    <w:t>车间</w:t>
                  </w:r>
                </w:p>
              </w:tc>
              <w:tc>
                <w:tcPr>
                  <w:tcW w:w="861" w:type="dxa"/>
                  <w:vMerge w:val="restart"/>
                  <w:vAlign w:val="center"/>
                </w:tcPr>
                <w:p>
                  <w:pPr>
                    <w:snapToGrid w:val="0"/>
                    <w:spacing w:line="240" w:lineRule="auto"/>
                    <w:jc w:val="center"/>
                    <w:rPr>
                      <w:szCs w:val="21"/>
                    </w:rPr>
                  </w:pPr>
                  <w:r>
                    <w:rPr>
                      <w:szCs w:val="21"/>
                    </w:rPr>
                    <w:t>项目</w:t>
                  </w:r>
                </w:p>
              </w:tc>
              <w:tc>
                <w:tcPr>
                  <w:tcW w:w="2639" w:type="dxa"/>
                  <w:gridSpan w:val="3"/>
                  <w:vAlign w:val="center"/>
                </w:tcPr>
                <w:p>
                  <w:pPr>
                    <w:pStyle w:val="85"/>
                    <w:overflowPunct/>
                    <w:topLinePunct w:val="0"/>
                    <w:autoSpaceDE/>
                    <w:autoSpaceDN/>
                    <w:adjustRightInd/>
                    <w:snapToGrid/>
                    <w:spacing w:line="240" w:lineRule="auto"/>
                    <w:textAlignment w:val="auto"/>
                    <w:rPr>
                      <w:spacing w:val="0"/>
                      <w:szCs w:val="21"/>
                    </w:rPr>
                  </w:pPr>
                  <w:r>
                    <w:rPr>
                      <w:spacing w:val="0"/>
                      <w:szCs w:val="21"/>
                    </w:rPr>
                    <w:t>源强特征</w:t>
                  </w:r>
                </w:p>
              </w:tc>
              <w:tc>
                <w:tcPr>
                  <w:tcW w:w="723" w:type="dxa"/>
                  <w:vMerge w:val="restart"/>
                  <w:vAlign w:val="center"/>
                </w:tcPr>
                <w:p>
                  <w:pPr>
                    <w:spacing w:line="240" w:lineRule="auto"/>
                    <w:jc w:val="center"/>
                    <w:rPr>
                      <w:szCs w:val="21"/>
                    </w:rPr>
                  </w:pPr>
                  <w:r>
                    <w:rPr>
                      <w:szCs w:val="21"/>
                    </w:rPr>
                    <w:t>平均</w:t>
                  </w:r>
                </w:p>
                <w:p>
                  <w:pPr>
                    <w:spacing w:line="240" w:lineRule="auto"/>
                    <w:jc w:val="center"/>
                    <w:rPr>
                      <w:szCs w:val="21"/>
                    </w:rPr>
                  </w:pPr>
                  <w:r>
                    <w:rPr>
                      <w:szCs w:val="21"/>
                    </w:rPr>
                    <w:t>风速</w:t>
                  </w:r>
                </w:p>
                <w:p>
                  <w:pPr>
                    <w:spacing w:line="240" w:lineRule="auto"/>
                    <w:jc w:val="center"/>
                    <w:rPr>
                      <w:szCs w:val="21"/>
                    </w:rPr>
                  </w:pPr>
                  <w:r>
                    <w:rPr>
                      <w:szCs w:val="21"/>
                    </w:rPr>
                    <w:t>(m/s)</w:t>
                  </w:r>
                </w:p>
              </w:tc>
              <w:tc>
                <w:tcPr>
                  <w:tcW w:w="2532" w:type="dxa"/>
                  <w:gridSpan w:val="4"/>
                  <w:vAlign w:val="center"/>
                </w:tcPr>
                <w:p>
                  <w:pPr>
                    <w:spacing w:line="240" w:lineRule="auto"/>
                    <w:jc w:val="center"/>
                    <w:rPr>
                      <w:szCs w:val="21"/>
                    </w:rPr>
                  </w:pPr>
                  <w:r>
                    <w:rPr>
                      <w:szCs w:val="21"/>
                    </w:rPr>
                    <w:t>计算系数</w:t>
                  </w:r>
                </w:p>
              </w:tc>
              <w:tc>
                <w:tcPr>
                  <w:tcW w:w="899" w:type="dxa"/>
                  <w:vMerge w:val="restart"/>
                  <w:vAlign w:val="center"/>
                </w:tcPr>
                <w:p>
                  <w:pPr>
                    <w:spacing w:line="240" w:lineRule="auto"/>
                    <w:jc w:val="center"/>
                    <w:rPr>
                      <w:szCs w:val="21"/>
                    </w:rPr>
                  </w:pPr>
                  <w:r>
                    <w:rPr>
                      <w:szCs w:val="21"/>
                    </w:rPr>
                    <w:t>卫生防护距离计算(m)</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dxa"/>
                  <w:vMerge w:val="continue"/>
                  <w:vAlign w:val="center"/>
                </w:tcPr>
                <w:p>
                  <w:pPr>
                    <w:snapToGrid w:val="0"/>
                    <w:spacing w:line="360" w:lineRule="auto"/>
                    <w:jc w:val="center"/>
                    <w:rPr>
                      <w:szCs w:val="21"/>
                    </w:rPr>
                  </w:pPr>
                </w:p>
              </w:tc>
              <w:tc>
                <w:tcPr>
                  <w:tcW w:w="861" w:type="dxa"/>
                  <w:vMerge w:val="continue"/>
                  <w:vAlign w:val="center"/>
                </w:tcPr>
                <w:p>
                  <w:pPr>
                    <w:snapToGrid w:val="0"/>
                    <w:spacing w:line="360" w:lineRule="auto"/>
                    <w:jc w:val="center"/>
                    <w:rPr>
                      <w:szCs w:val="21"/>
                    </w:rPr>
                  </w:pPr>
                </w:p>
              </w:tc>
              <w:tc>
                <w:tcPr>
                  <w:tcW w:w="996" w:type="dxa"/>
                  <w:vAlign w:val="center"/>
                </w:tcPr>
                <w:p>
                  <w:pPr>
                    <w:snapToGrid w:val="0"/>
                    <w:spacing w:line="240" w:lineRule="auto"/>
                    <w:jc w:val="center"/>
                    <w:rPr>
                      <w:szCs w:val="21"/>
                    </w:rPr>
                  </w:pPr>
                  <w:r>
                    <w:rPr>
                      <w:szCs w:val="21"/>
                    </w:rPr>
                    <w:t>源强</w:t>
                  </w:r>
                </w:p>
                <w:p>
                  <w:pPr>
                    <w:snapToGrid w:val="0"/>
                    <w:spacing w:line="240" w:lineRule="auto"/>
                    <w:jc w:val="center"/>
                    <w:rPr>
                      <w:szCs w:val="21"/>
                    </w:rPr>
                  </w:pPr>
                  <w:r>
                    <w:rPr>
                      <w:szCs w:val="21"/>
                    </w:rPr>
                    <w:t>(kg/h)</w:t>
                  </w:r>
                </w:p>
              </w:tc>
              <w:tc>
                <w:tcPr>
                  <w:tcW w:w="645" w:type="dxa"/>
                  <w:vAlign w:val="center"/>
                </w:tcPr>
                <w:p>
                  <w:pPr>
                    <w:snapToGrid w:val="0"/>
                    <w:spacing w:line="240" w:lineRule="auto"/>
                    <w:jc w:val="center"/>
                    <w:rPr>
                      <w:szCs w:val="21"/>
                    </w:rPr>
                  </w:pPr>
                  <w:r>
                    <w:rPr>
                      <w:szCs w:val="21"/>
                    </w:rPr>
                    <w:t>面积</w:t>
                  </w:r>
                </w:p>
                <w:p>
                  <w:pPr>
                    <w:snapToGrid w:val="0"/>
                    <w:spacing w:line="240" w:lineRule="auto"/>
                    <w:jc w:val="center"/>
                    <w:rPr>
                      <w:szCs w:val="21"/>
                    </w:rPr>
                  </w:pPr>
                  <w:r>
                    <w:rPr>
                      <w:szCs w:val="21"/>
                    </w:rPr>
                    <w:t>(m</w:t>
                  </w:r>
                  <w:r>
                    <w:rPr>
                      <w:szCs w:val="21"/>
                      <w:vertAlign w:val="superscript"/>
                    </w:rPr>
                    <w:t>2</w:t>
                  </w:r>
                  <w:r>
                    <w:rPr>
                      <w:szCs w:val="21"/>
                    </w:rPr>
                    <w:t>)</w:t>
                  </w:r>
                </w:p>
              </w:tc>
              <w:tc>
                <w:tcPr>
                  <w:tcW w:w="998" w:type="dxa"/>
                  <w:vAlign w:val="center"/>
                </w:tcPr>
                <w:p>
                  <w:pPr>
                    <w:snapToGrid w:val="0"/>
                    <w:spacing w:line="240" w:lineRule="auto"/>
                    <w:jc w:val="center"/>
                    <w:rPr>
                      <w:szCs w:val="21"/>
                    </w:rPr>
                  </w:pPr>
                  <w:r>
                    <w:rPr>
                      <w:szCs w:val="21"/>
                    </w:rPr>
                    <w:t>排放平均高度(m)</w:t>
                  </w:r>
                </w:p>
              </w:tc>
              <w:tc>
                <w:tcPr>
                  <w:tcW w:w="723" w:type="dxa"/>
                  <w:vMerge w:val="continue"/>
                  <w:vAlign w:val="center"/>
                </w:tcPr>
                <w:p>
                  <w:pPr>
                    <w:snapToGrid w:val="0"/>
                    <w:spacing w:line="360" w:lineRule="auto"/>
                    <w:jc w:val="center"/>
                    <w:rPr>
                      <w:szCs w:val="21"/>
                    </w:rPr>
                  </w:pPr>
                </w:p>
              </w:tc>
              <w:tc>
                <w:tcPr>
                  <w:tcW w:w="576" w:type="dxa"/>
                  <w:vAlign w:val="center"/>
                </w:tcPr>
                <w:p>
                  <w:pPr>
                    <w:snapToGrid w:val="0"/>
                    <w:spacing w:line="360" w:lineRule="auto"/>
                    <w:jc w:val="center"/>
                    <w:rPr>
                      <w:szCs w:val="21"/>
                    </w:rPr>
                  </w:pPr>
                  <w:r>
                    <w:rPr>
                      <w:szCs w:val="21"/>
                    </w:rPr>
                    <w:t>A</w:t>
                  </w:r>
                </w:p>
              </w:tc>
              <w:tc>
                <w:tcPr>
                  <w:tcW w:w="665" w:type="dxa"/>
                  <w:vAlign w:val="center"/>
                </w:tcPr>
                <w:p>
                  <w:pPr>
                    <w:snapToGrid w:val="0"/>
                    <w:spacing w:line="360" w:lineRule="auto"/>
                    <w:jc w:val="center"/>
                    <w:rPr>
                      <w:szCs w:val="21"/>
                    </w:rPr>
                  </w:pPr>
                  <w:r>
                    <w:rPr>
                      <w:szCs w:val="21"/>
                    </w:rPr>
                    <w:t>B</w:t>
                  </w:r>
                </w:p>
              </w:tc>
              <w:tc>
                <w:tcPr>
                  <w:tcW w:w="636" w:type="dxa"/>
                  <w:vAlign w:val="center"/>
                </w:tcPr>
                <w:p>
                  <w:pPr>
                    <w:snapToGrid w:val="0"/>
                    <w:spacing w:line="360" w:lineRule="auto"/>
                    <w:jc w:val="center"/>
                    <w:rPr>
                      <w:szCs w:val="21"/>
                    </w:rPr>
                  </w:pPr>
                  <w:r>
                    <w:rPr>
                      <w:szCs w:val="21"/>
                    </w:rPr>
                    <w:t>C</w:t>
                  </w:r>
                </w:p>
              </w:tc>
              <w:tc>
                <w:tcPr>
                  <w:tcW w:w="655" w:type="dxa"/>
                  <w:vAlign w:val="center"/>
                </w:tcPr>
                <w:p>
                  <w:pPr>
                    <w:snapToGrid w:val="0"/>
                    <w:spacing w:line="360" w:lineRule="auto"/>
                    <w:jc w:val="center"/>
                    <w:rPr>
                      <w:szCs w:val="21"/>
                    </w:rPr>
                  </w:pPr>
                  <w:r>
                    <w:rPr>
                      <w:szCs w:val="21"/>
                    </w:rPr>
                    <w:t>D</w:t>
                  </w:r>
                </w:p>
              </w:tc>
              <w:tc>
                <w:tcPr>
                  <w:tcW w:w="899" w:type="dxa"/>
                  <w:vMerge w:val="continue"/>
                  <w:vAlign w:val="center"/>
                </w:tcPr>
                <w:p>
                  <w:pPr>
                    <w:snapToGrid w:val="0"/>
                    <w:spacing w:line="360" w:lineRule="auto"/>
                    <w:jc w:val="center"/>
                    <w:rPr>
                      <w:szCs w:val="21"/>
                    </w:rPr>
                  </w:pP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02" w:type="dxa"/>
                  <w:vMerge w:val="restart"/>
                  <w:vAlign w:val="center"/>
                </w:tcPr>
                <w:p>
                  <w:pPr>
                    <w:snapToGrid w:val="0"/>
                    <w:spacing w:line="240" w:lineRule="auto"/>
                    <w:jc w:val="center"/>
                    <w:rPr>
                      <w:szCs w:val="21"/>
                    </w:rPr>
                  </w:pPr>
                  <w:r>
                    <w:rPr>
                      <w:rFonts w:hint="eastAsia"/>
                      <w:szCs w:val="21"/>
                    </w:rPr>
                    <w:t>压缩</w:t>
                  </w:r>
                  <w:r>
                    <w:rPr>
                      <w:szCs w:val="21"/>
                    </w:rPr>
                    <w:t>车间</w:t>
                  </w:r>
                </w:p>
              </w:tc>
              <w:tc>
                <w:tcPr>
                  <w:tcW w:w="861" w:type="dxa"/>
                  <w:vAlign w:val="center"/>
                </w:tcPr>
                <w:p>
                  <w:pPr>
                    <w:snapToGrid w:val="0"/>
                    <w:spacing w:line="360" w:lineRule="auto"/>
                    <w:jc w:val="center"/>
                    <w:rPr>
                      <w:szCs w:val="21"/>
                    </w:rPr>
                  </w:pPr>
                  <w:r>
                    <w:rPr>
                      <w:rFonts w:hint="eastAsia"/>
                      <w:kern w:val="2"/>
                      <w:szCs w:val="21"/>
                    </w:rPr>
                    <w:t>NH</w:t>
                  </w:r>
                  <w:r>
                    <w:rPr>
                      <w:rFonts w:hint="eastAsia"/>
                      <w:kern w:val="2"/>
                      <w:szCs w:val="21"/>
                      <w:vertAlign w:val="subscript"/>
                    </w:rPr>
                    <w:t>3</w:t>
                  </w:r>
                </w:p>
              </w:tc>
              <w:tc>
                <w:tcPr>
                  <w:tcW w:w="996" w:type="dxa"/>
                  <w:vAlign w:val="center"/>
                </w:tcPr>
                <w:p>
                  <w:pPr>
                    <w:autoSpaceDE w:val="0"/>
                    <w:autoSpaceDN w:val="0"/>
                    <w:spacing w:line="360" w:lineRule="auto"/>
                    <w:textAlignment w:val="auto"/>
                    <w:rPr>
                      <w:rFonts w:cs="宋体"/>
                      <w:szCs w:val="21"/>
                    </w:rPr>
                  </w:pPr>
                  <w:r>
                    <w:rPr>
                      <w:rFonts w:hint="eastAsia" w:cs="宋体"/>
                      <w:szCs w:val="21"/>
                    </w:rPr>
                    <w:t>0</w:t>
                  </w:r>
                  <w:r>
                    <w:rPr>
                      <w:rFonts w:cs="宋体"/>
                      <w:szCs w:val="21"/>
                    </w:rPr>
                    <w:t>.00376</w:t>
                  </w:r>
                </w:p>
              </w:tc>
              <w:tc>
                <w:tcPr>
                  <w:tcW w:w="645" w:type="dxa"/>
                  <w:vMerge w:val="restart"/>
                  <w:vAlign w:val="center"/>
                </w:tcPr>
                <w:p>
                  <w:pPr>
                    <w:snapToGrid w:val="0"/>
                    <w:spacing w:line="360" w:lineRule="auto"/>
                    <w:jc w:val="center"/>
                    <w:rPr>
                      <w:szCs w:val="21"/>
                    </w:rPr>
                  </w:pPr>
                  <w:r>
                    <w:rPr>
                      <w:rFonts w:hint="eastAsia"/>
                      <w:szCs w:val="21"/>
                    </w:rPr>
                    <w:t>1</w:t>
                  </w:r>
                  <w:r>
                    <w:rPr>
                      <w:szCs w:val="21"/>
                    </w:rPr>
                    <w:t>10</w:t>
                  </w:r>
                </w:p>
              </w:tc>
              <w:tc>
                <w:tcPr>
                  <w:tcW w:w="998" w:type="dxa"/>
                  <w:vMerge w:val="restart"/>
                  <w:vAlign w:val="center"/>
                </w:tcPr>
                <w:p>
                  <w:pPr>
                    <w:snapToGrid w:val="0"/>
                    <w:spacing w:line="360" w:lineRule="auto"/>
                    <w:jc w:val="center"/>
                    <w:rPr>
                      <w:szCs w:val="21"/>
                    </w:rPr>
                  </w:pPr>
                  <w:r>
                    <w:rPr>
                      <w:szCs w:val="21"/>
                    </w:rPr>
                    <w:t>6</w:t>
                  </w:r>
                </w:p>
              </w:tc>
              <w:tc>
                <w:tcPr>
                  <w:tcW w:w="723" w:type="dxa"/>
                  <w:vMerge w:val="restart"/>
                  <w:vAlign w:val="center"/>
                </w:tcPr>
                <w:p>
                  <w:pPr>
                    <w:snapToGrid w:val="0"/>
                    <w:spacing w:line="360" w:lineRule="auto"/>
                    <w:jc w:val="center"/>
                    <w:rPr>
                      <w:szCs w:val="21"/>
                    </w:rPr>
                  </w:pPr>
                  <w:r>
                    <w:rPr>
                      <w:szCs w:val="21"/>
                    </w:rPr>
                    <w:t>1.3</w:t>
                  </w:r>
                </w:p>
              </w:tc>
              <w:tc>
                <w:tcPr>
                  <w:tcW w:w="576" w:type="dxa"/>
                  <w:vMerge w:val="restart"/>
                  <w:vAlign w:val="center"/>
                </w:tcPr>
                <w:p>
                  <w:pPr>
                    <w:snapToGrid w:val="0"/>
                    <w:spacing w:line="360" w:lineRule="auto"/>
                    <w:jc w:val="center"/>
                    <w:rPr>
                      <w:szCs w:val="21"/>
                    </w:rPr>
                  </w:pPr>
                  <w:r>
                    <w:rPr>
                      <w:szCs w:val="21"/>
                    </w:rPr>
                    <w:t>400</w:t>
                  </w:r>
                </w:p>
              </w:tc>
              <w:tc>
                <w:tcPr>
                  <w:tcW w:w="665" w:type="dxa"/>
                  <w:vMerge w:val="restart"/>
                  <w:vAlign w:val="center"/>
                </w:tcPr>
                <w:p>
                  <w:pPr>
                    <w:snapToGrid w:val="0"/>
                    <w:spacing w:line="360" w:lineRule="auto"/>
                    <w:jc w:val="center"/>
                    <w:rPr>
                      <w:szCs w:val="21"/>
                    </w:rPr>
                  </w:pPr>
                  <w:r>
                    <w:rPr>
                      <w:szCs w:val="21"/>
                    </w:rPr>
                    <w:t>0.01</w:t>
                  </w:r>
                </w:p>
              </w:tc>
              <w:tc>
                <w:tcPr>
                  <w:tcW w:w="636" w:type="dxa"/>
                  <w:vMerge w:val="restart"/>
                  <w:vAlign w:val="center"/>
                </w:tcPr>
                <w:p>
                  <w:pPr>
                    <w:snapToGrid w:val="0"/>
                    <w:spacing w:line="360" w:lineRule="auto"/>
                    <w:jc w:val="center"/>
                    <w:rPr>
                      <w:szCs w:val="21"/>
                    </w:rPr>
                  </w:pPr>
                  <w:r>
                    <w:rPr>
                      <w:szCs w:val="21"/>
                    </w:rPr>
                    <w:t>1.85</w:t>
                  </w:r>
                </w:p>
              </w:tc>
              <w:tc>
                <w:tcPr>
                  <w:tcW w:w="655" w:type="dxa"/>
                  <w:vMerge w:val="restart"/>
                  <w:vAlign w:val="center"/>
                </w:tcPr>
                <w:p>
                  <w:pPr>
                    <w:snapToGrid w:val="0"/>
                    <w:spacing w:line="360" w:lineRule="auto"/>
                    <w:jc w:val="center"/>
                    <w:rPr>
                      <w:szCs w:val="21"/>
                    </w:rPr>
                  </w:pPr>
                  <w:r>
                    <w:rPr>
                      <w:szCs w:val="21"/>
                    </w:rPr>
                    <w:t>0.78</w:t>
                  </w:r>
                </w:p>
              </w:tc>
              <w:tc>
                <w:tcPr>
                  <w:tcW w:w="899" w:type="dxa"/>
                  <w:vAlign w:val="center"/>
                </w:tcPr>
                <w:p>
                  <w:pPr>
                    <w:spacing w:line="360" w:lineRule="auto"/>
                    <w:jc w:val="center"/>
                    <w:rPr>
                      <w:szCs w:val="21"/>
                    </w:rPr>
                  </w:pPr>
                  <w:r>
                    <w:rPr>
                      <w:szCs w:val="21"/>
                    </w:rPr>
                    <w:t>3.29</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602" w:type="dxa"/>
                  <w:vMerge w:val="continue"/>
                  <w:vAlign w:val="center"/>
                </w:tcPr>
                <w:p>
                  <w:pPr>
                    <w:snapToGrid w:val="0"/>
                    <w:spacing w:line="360" w:lineRule="auto"/>
                    <w:jc w:val="center"/>
                    <w:rPr>
                      <w:szCs w:val="21"/>
                    </w:rPr>
                  </w:pPr>
                </w:p>
              </w:tc>
              <w:tc>
                <w:tcPr>
                  <w:tcW w:w="861" w:type="dxa"/>
                  <w:vAlign w:val="center"/>
                </w:tcPr>
                <w:p>
                  <w:pPr>
                    <w:snapToGrid w:val="0"/>
                    <w:spacing w:line="360" w:lineRule="auto"/>
                    <w:jc w:val="center"/>
                    <w:rPr>
                      <w:szCs w:val="21"/>
                    </w:rPr>
                  </w:pPr>
                  <w:r>
                    <w:rPr>
                      <w:rFonts w:hint="eastAsia"/>
                      <w:kern w:val="2"/>
                      <w:szCs w:val="21"/>
                    </w:rPr>
                    <w:t>H</w:t>
                  </w:r>
                  <w:r>
                    <w:rPr>
                      <w:rFonts w:hint="eastAsia"/>
                      <w:kern w:val="2"/>
                      <w:szCs w:val="21"/>
                      <w:vertAlign w:val="subscript"/>
                    </w:rPr>
                    <w:t>2</w:t>
                  </w:r>
                  <w:r>
                    <w:rPr>
                      <w:rFonts w:hint="eastAsia"/>
                      <w:kern w:val="2"/>
                      <w:szCs w:val="21"/>
                    </w:rPr>
                    <w:t>S</w:t>
                  </w:r>
                </w:p>
              </w:tc>
              <w:tc>
                <w:tcPr>
                  <w:tcW w:w="996" w:type="dxa"/>
                  <w:vAlign w:val="center"/>
                </w:tcPr>
                <w:p>
                  <w:pPr>
                    <w:autoSpaceDE w:val="0"/>
                    <w:autoSpaceDN w:val="0"/>
                    <w:spacing w:line="360" w:lineRule="auto"/>
                    <w:textAlignment w:val="auto"/>
                    <w:rPr>
                      <w:rFonts w:cs="宋体"/>
                      <w:szCs w:val="21"/>
                    </w:rPr>
                  </w:pPr>
                  <w:r>
                    <w:rPr>
                      <w:rFonts w:hint="eastAsia" w:cs="宋体"/>
                      <w:szCs w:val="21"/>
                    </w:rPr>
                    <w:t>0</w:t>
                  </w:r>
                  <w:r>
                    <w:rPr>
                      <w:rFonts w:cs="宋体"/>
                      <w:szCs w:val="21"/>
                    </w:rPr>
                    <w:t>.000378</w:t>
                  </w:r>
                </w:p>
              </w:tc>
              <w:tc>
                <w:tcPr>
                  <w:tcW w:w="645" w:type="dxa"/>
                  <w:vMerge w:val="continue"/>
                  <w:vAlign w:val="center"/>
                </w:tcPr>
                <w:p>
                  <w:pPr>
                    <w:snapToGrid w:val="0"/>
                    <w:spacing w:line="360" w:lineRule="auto"/>
                    <w:jc w:val="center"/>
                    <w:rPr>
                      <w:szCs w:val="21"/>
                    </w:rPr>
                  </w:pPr>
                </w:p>
              </w:tc>
              <w:tc>
                <w:tcPr>
                  <w:tcW w:w="998" w:type="dxa"/>
                  <w:vMerge w:val="continue"/>
                  <w:vAlign w:val="center"/>
                </w:tcPr>
                <w:p>
                  <w:pPr>
                    <w:snapToGrid w:val="0"/>
                    <w:spacing w:line="360" w:lineRule="auto"/>
                    <w:jc w:val="center"/>
                    <w:rPr>
                      <w:szCs w:val="21"/>
                    </w:rPr>
                  </w:pPr>
                </w:p>
              </w:tc>
              <w:tc>
                <w:tcPr>
                  <w:tcW w:w="723" w:type="dxa"/>
                  <w:vMerge w:val="continue"/>
                  <w:vAlign w:val="center"/>
                </w:tcPr>
                <w:p>
                  <w:pPr>
                    <w:snapToGrid w:val="0"/>
                    <w:spacing w:line="360" w:lineRule="auto"/>
                    <w:jc w:val="center"/>
                    <w:rPr>
                      <w:szCs w:val="21"/>
                    </w:rPr>
                  </w:pPr>
                </w:p>
              </w:tc>
              <w:tc>
                <w:tcPr>
                  <w:tcW w:w="576" w:type="dxa"/>
                  <w:vMerge w:val="continue"/>
                  <w:vAlign w:val="center"/>
                </w:tcPr>
                <w:p>
                  <w:pPr>
                    <w:snapToGrid w:val="0"/>
                    <w:spacing w:line="360" w:lineRule="auto"/>
                    <w:jc w:val="center"/>
                    <w:rPr>
                      <w:szCs w:val="21"/>
                    </w:rPr>
                  </w:pPr>
                </w:p>
              </w:tc>
              <w:tc>
                <w:tcPr>
                  <w:tcW w:w="665" w:type="dxa"/>
                  <w:vMerge w:val="continue"/>
                  <w:vAlign w:val="center"/>
                </w:tcPr>
                <w:p>
                  <w:pPr>
                    <w:snapToGrid w:val="0"/>
                    <w:spacing w:line="360" w:lineRule="auto"/>
                    <w:jc w:val="center"/>
                    <w:rPr>
                      <w:szCs w:val="21"/>
                    </w:rPr>
                  </w:pPr>
                </w:p>
              </w:tc>
              <w:tc>
                <w:tcPr>
                  <w:tcW w:w="636" w:type="dxa"/>
                  <w:vMerge w:val="continue"/>
                  <w:vAlign w:val="center"/>
                </w:tcPr>
                <w:p>
                  <w:pPr>
                    <w:snapToGrid w:val="0"/>
                    <w:spacing w:line="360" w:lineRule="auto"/>
                    <w:jc w:val="center"/>
                    <w:rPr>
                      <w:szCs w:val="21"/>
                    </w:rPr>
                  </w:pPr>
                </w:p>
              </w:tc>
              <w:tc>
                <w:tcPr>
                  <w:tcW w:w="655" w:type="dxa"/>
                  <w:vMerge w:val="continue"/>
                  <w:vAlign w:val="center"/>
                </w:tcPr>
                <w:p>
                  <w:pPr>
                    <w:snapToGrid w:val="0"/>
                    <w:spacing w:line="360" w:lineRule="auto"/>
                    <w:jc w:val="center"/>
                    <w:rPr>
                      <w:szCs w:val="21"/>
                    </w:rPr>
                  </w:pPr>
                </w:p>
              </w:tc>
              <w:tc>
                <w:tcPr>
                  <w:tcW w:w="899" w:type="dxa"/>
                  <w:vAlign w:val="center"/>
                </w:tcPr>
                <w:p>
                  <w:pPr>
                    <w:spacing w:line="360" w:lineRule="auto"/>
                    <w:jc w:val="center"/>
                    <w:rPr>
                      <w:szCs w:val="21"/>
                    </w:rPr>
                  </w:pPr>
                  <w:r>
                    <w:rPr>
                      <w:szCs w:val="21"/>
                    </w:rPr>
                    <w:t>7.84</w:t>
                  </w:r>
                </w:p>
              </w:tc>
            </w:tr>
          </w:tbl>
          <w:p>
            <w:pPr>
              <w:widowControl/>
              <w:spacing w:line="360" w:lineRule="auto"/>
              <w:ind w:firstLine="480" w:firstLineChars="200"/>
              <w:jc w:val="left"/>
              <w:rPr>
                <w:sz w:val="24"/>
                <w:szCs w:val="24"/>
              </w:rPr>
            </w:pPr>
            <w:r>
              <w:rPr>
                <w:sz w:val="24"/>
                <w:szCs w:val="24"/>
              </w:rPr>
              <w:t>经计算卫生防护距离</w:t>
            </w:r>
            <w:r>
              <w:rPr>
                <w:rFonts w:hint="eastAsia"/>
                <w:sz w:val="24"/>
                <w:szCs w:val="24"/>
              </w:rPr>
              <w:t>，主城区垃圾转运站</w:t>
            </w:r>
            <w:r>
              <w:rPr>
                <w:sz w:val="24"/>
                <w:szCs w:val="24"/>
              </w:rPr>
              <w:t>计算值</w:t>
            </w:r>
            <w:r>
              <w:rPr>
                <w:rFonts w:hint="eastAsia"/>
                <w:sz w:val="24"/>
                <w:szCs w:val="24"/>
              </w:rPr>
              <w:t>分别</w:t>
            </w:r>
            <w:r>
              <w:rPr>
                <w:sz w:val="24"/>
                <w:szCs w:val="24"/>
              </w:rPr>
              <w:t>为17.66m</w:t>
            </w:r>
            <w:r>
              <w:rPr>
                <w:rFonts w:hint="eastAsia"/>
                <w:sz w:val="24"/>
                <w:szCs w:val="24"/>
              </w:rPr>
              <w:t>、4</w:t>
            </w:r>
            <w:r>
              <w:rPr>
                <w:sz w:val="24"/>
                <w:szCs w:val="24"/>
              </w:rPr>
              <w:t>1.48m，</w:t>
            </w:r>
            <w:r>
              <w:rPr>
                <w:rFonts w:hint="eastAsia"/>
                <w:sz w:val="24"/>
                <w:szCs w:val="24"/>
              </w:rPr>
              <w:t>最终</w:t>
            </w:r>
            <w:r>
              <w:rPr>
                <w:sz w:val="24"/>
                <w:szCs w:val="24"/>
              </w:rPr>
              <w:t>确定</w:t>
            </w:r>
            <w:r>
              <w:rPr>
                <w:rFonts w:hint="eastAsia"/>
                <w:sz w:val="24"/>
                <w:szCs w:val="24"/>
              </w:rPr>
              <w:t>卫生</w:t>
            </w:r>
            <w:r>
              <w:rPr>
                <w:sz w:val="24"/>
                <w:szCs w:val="24"/>
              </w:rPr>
              <w:t>防护距离5</w:t>
            </w:r>
            <w:r>
              <w:rPr>
                <w:rFonts w:hint="eastAsia"/>
                <w:sz w:val="24"/>
                <w:szCs w:val="24"/>
              </w:rPr>
              <w:t>0</w:t>
            </w:r>
            <w:r>
              <w:rPr>
                <w:sz w:val="24"/>
                <w:szCs w:val="24"/>
              </w:rPr>
              <w:t>m，项目厂界50m范围内无居民区等环境敏感点，距离项目最近的环境敏感点为厂界</w:t>
            </w:r>
            <w:r>
              <w:rPr>
                <w:rFonts w:hint="eastAsia"/>
                <w:sz w:val="24"/>
                <w:szCs w:val="24"/>
              </w:rPr>
              <w:t>西南</w:t>
            </w:r>
            <w:r>
              <w:rPr>
                <w:sz w:val="24"/>
                <w:szCs w:val="24"/>
              </w:rPr>
              <w:t>432m</w:t>
            </w:r>
            <w:r>
              <w:rPr>
                <w:rFonts w:hint="eastAsia"/>
                <w:sz w:val="24"/>
                <w:szCs w:val="24"/>
              </w:rPr>
              <w:t>的</w:t>
            </w:r>
            <w:r>
              <w:rPr>
                <w:rFonts w:hint="eastAsia"/>
                <w:bCs/>
                <w:sz w:val="24"/>
                <w:szCs w:val="21"/>
              </w:rPr>
              <w:t>老爷庙村</w:t>
            </w:r>
            <w:r>
              <w:rPr>
                <w:sz w:val="24"/>
                <w:szCs w:val="24"/>
              </w:rPr>
              <w:t>，满足项目卫生防护距离要求</w:t>
            </w:r>
            <w:r>
              <w:rPr>
                <w:rFonts w:hint="eastAsia"/>
                <w:sz w:val="24"/>
                <w:szCs w:val="24"/>
              </w:rPr>
              <w:t>；寿王坟镇垃圾转运站</w:t>
            </w:r>
            <w:r>
              <w:rPr>
                <w:sz w:val="24"/>
                <w:szCs w:val="24"/>
              </w:rPr>
              <w:t>计算值</w:t>
            </w:r>
            <w:r>
              <w:rPr>
                <w:rFonts w:hint="eastAsia"/>
                <w:sz w:val="24"/>
                <w:szCs w:val="24"/>
              </w:rPr>
              <w:t>分别</w:t>
            </w:r>
            <w:r>
              <w:rPr>
                <w:sz w:val="24"/>
                <w:szCs w:val="24"/>
              </w:rPr>
              <w:t>为3.29m</w:t>
            </w:r>
            <w:r>
              <w:rPr>
                <w:rFonts w:hint="eastAsia"/>
                <w:sz w:val="24"/>
                <w:szCs w:val="24"/>
              </w:rPr>
              <w:t>、</w:t>
            </w:r>
            <w:r>
              <w:rPr>
                <w:sz w:val="24"/>
                <w:szCs w:val="24"/>
              </w:rPr>
              <w:t>7.84m，</w:t>
            </w:r>
            <w:r>
              <w:rPr>
                <w:rFonts w:hint="eastAsia"/>
                <w:sz w:val="24"/>
                <w:szCs w:val="24"/>
              </w:rPr>
              <w:t>最终</w:t>
            </w:r>
            <w:r>
              <w:rPr>
                <w:sz w:val="24"/>
                <w:szCs w:val="24"/>
              </w:rPr>
              <w:t>确定</w:t>
            </w:r>
            <w:r>
              <w:rPr>
                <w:rFonts w:hint="eastAsia"/>
                <w:sz w:val="24"/>
                <w:szCs w:val="24"/>
              </w:rPr>
              <w:t>卫生</w:t>
            </w:r>
            <w:r>
              <w:rPr>
                <w:sz w:val="24"/>
                <w:szCs w:val="24"/>
              </w:rPr>
              <w:t>防护距离50m，项目厂界50m范围内无居民区等环境敏感点，距离项目最近的环境敏感点为厂界</w:t>
            </w:r>
            <w:r>
              <w:rPr>
                <w:rFonts w:hint="eastAsia"/>
                <w:sz w:val="24"/>
                <w:szCs w:val="24"/>
              </w:rPr>
              <w:t>东北</w:t>
            </w:r>
            <w:r>
              <w:rPr>
                <w:sz w:val="24"/>
                <w:szCs w:val="24"/>
              </w:rPr>
              <w:t>344m</w:t>
            </w:r>
            <w:r>
              <w:rPr>
                <w:rFonts w:hint="eastAsia"/>
                <w:sz w:val="24"/>
                <w:szCs w:val="24"/>
              </w:rPr>
              <w:t>的</w:t>
            </w:r>
            <w:r>
              <w:rPr>
                <w:rFonts w:hint="eastAsia"/>
                <w:sz w:val="24"/>
                <w:szCs w:val="21"/>
              </w:rPr>
              <w:t>朝梁子</w:t>
            </w:r>
            <w:r>
              <w:rPr>
                <w:sz w:val="24"/>
                <w:szCs w:val="24"/>
              </w:rPr>
              <w:t>，满足项目卫生防护距离要求</w:t>
            </w:r>
            <w:r>
              <w:rPr>
                <w:rFonts w:hint="eastAsia"/>
                <w:sz w:val="24"/>
                <w:szCs w:val="24"/>
              </w:rPr>
              <w:t>。</w:t>
            </w:r>
          </w:p>
          <w:p>
            <w:pPr>
              <w:pStyle w:val="105"/>
              <w:spacing w:line="360" w:lineRule="auto"/>
              <w:ind w:firstLine="480" w:firstLineChars="200"/>
              <w:rPr>
                <w:rFonts w:ascii="Times New Roman"/>
                <w:color w:val="auto"/>
              </w:rPr>
            </w:pPr>
            <w:r>
              <w:rPr>
                <w:rFonts w:hint="eastAsia" w:ascii="Times New Roman"/>
                <w:color w:val="auto"/>
              </w:rPr>
              <w:t>（2）运输扬尘、恶臭</w:t>
            </w:r>
          </w:p>
          <w:p>
            <w:pPr>
              <w:pStyle w:val="105"/>
              <w:spacing w:line="360" w:lineRule="auto"/>
              <w:ind w:firstLine="480" w:firstLineChars="200"/>
              <w:rPr>
                <w:rFonts w:ascii="Times New Roman"/>
                <w:color w:val="auto"/>
              </w:rPr>
            </w:pPr>
            <w:r>
              <w:rPr>
                <w:rFonts w:hint="eastAsia" w:ascii="Times New Roman"/>
                <w:color w:val="auto"/>
              </w:rPr>
              <w:t>本项目运输车辆在运行中将产生扬尘，道路扬尘废气排放局限于施工现场和运输沿线，产生量较小，为无组织排放及非连续性的污染源。为降低道路扬尘对周边环境的影响，本环评建议采取以下措施：</w:t>
            </w:r>
          </w:p>
          <w:p>
            <w:pPr>
              <w:pStyle w:val="105"/>
              <w:spacing w:line="360" w:lineRule="auto"/>
              <w:ind w:firstLine="480" w:firstLineChars="200"/>
              <w:rPr>
                <w:rFonts w:ascii="Times New Roman"/>
                <w:color w:val="auto"/>
              </w:rPr>
            </w:pPr>
            <w:r>
              <w:rPr>
                <w:rFonts w:hint="eastAsia" w:ascii="Times New Roman"/>
                <w:color w:val="auto"/>
              </w:rPr>
              <w:t>①尽量选择对附近居民等敏感点周围环境影响较小的运输路线；</w:t>
            </w:r>
          </w:p>
          <w:p>
            <w:pPr>
              <w:pStyle w:val="105"/>
              <w:spacing w:line="360" w:lineRule="auto"/>
              <w:ind w:firstLine="480" w:firstLineChars="200"/>
              <w:rPr>
                <w:rFonts w:ascii="Times New Roman"/>
                <w:color w:val="auto"/>
              </w:rPr>
            </w:pPr>
            <w:r>
              <w:rPr>
                <w:rFonts w:hint="eastAsia" w:ascii="Times New Roman"/>
                <w:color w:val="auto"/>
              </w:rPr>
              <w:t>②运输车辆按规章装卸运行，严禁超载；</w:t>
            </w:r>
          </w:p>
          <w:p>
            <w:pPr>
              <w:pStyle w:val="105"/>
              <w:spacing w:line="360" w:lineRule="auto"/>
              <w:ind w:firstLine="480" w:firstLineChars="200"/>
              <w:rPr>
                <w:rFonts w:ascii="Times New Roman"/>
                <w:color w:val="auto"/>
              </w:rPr>
            </w:pPr>
            <w:r>
              <w:rPr>
                <w:rFonts w:hint="eastAsia" w:ascii="Times New Roman"/>
                <w:color w:val="auto"/>
              </w:rPr>
              <w:t>③采用密闭式自卸运输车辆。</w:t>
            </w:r>
          </w:p>
          <w:p>
            <w:pPr>
              <w:pStyle w:val="105"/>
              <w:spacing w:line="360" w:lineRule="auto"/>
              <w:ind w:firstLine="480" w:firstLineChars="200"/>
              <w:rPr>
                <w:rFonts w:ascii="Times New Roman"/>
                <w:color w:val="auto"/>
              </w:rPr>
            </w:pPr>
            <w:r>
              <w:rPr>
                <w:rFonts w:hint="eastAsia" w:ascii="Times New Roman"/>
                <w:color w:val="auto"/>
              </w:rPr>
              <w:t>通过采取以上措施后，本项目运输过程产生的道路扬尘及恶臭对周围环境影响可以接受。</w:t>
            </w:r>
          </w:p>
          <w:p>
            <w:pPr>
              <w:pStyle w:val="105"/>
              <w:spacing w:line="360" w:lineRule="auto"/>
              <w:ind w:firstLine="480" w:firstLineChars="200"/>
              <w:rPr>
                <w:rFonts w:ascii="Times New Roman"/>
                <w:color w:val="auto"/>
              </w:rPr>
            </w:pPr>
            <w:r>
              <w:rPr>
                <w:rFonts w:hint="eastAsia" w:ascii="Times New Roman"/>
                <w:color w:val="auto"/>
              </w:rPr>
              <w:t>（3）餐厅油烟</w:t>
            </w:r>
          </w:p>
          <w:p>
            <w:pPr>
              <w:pStyle w:val="105"/>
              <w:spacing w:line="360" w:lineRule="auto"/>
              <w:ind w:firstLine="480" w:firstLineChars="200"/>
              <w:rPr>
                <w:rFonts w:ascii="Times New Roman" w:cs="Times New Roman"/>
                <w:color w:val="auto"/>
              </w:rPr>
            </w:pPr>
            <w:r>
              <w:rPr>
                <w:rFonts w:ascii="Times New Roman" w:cs="Times New Roman"/>
                <w:color w:val="auto"/>
              </w:rPr>
              <w:t>本项目</w:t>
            </w:r>
            <w:r>
              <w:rPr>
                <w:rFonts w:hint="eastAsia" w:ascii="Times New Roman" w:cs="Times New Roman"/>
                <w:color w:val="auto"/>
              </w:rPr>
              <w:t>主城区</w:t>
            </w:r>
            <w:r>
              <w:rPr>
                <w:rFonts w:ascii="Times New Roman" w:cs="Times New Roman"/>
                <w:color w:val="auto"/>
              </w:rPr>
              <w:t>垃圾转运站设有淋浴餐厅，燃料为罐装天然气，运营期间每天产生油烟量约为3.3g，年产生量为1.2kg，油烟产生浓度为0.41mg/m</w:t>
            </w:r>
            <w:r>
              <w:rPr>
                <w:rFonts w:ascii="Times New Roman" w:cs="Times New Roman"/>
                <w:color w:val="auto"/>
                <w:vertAlign w:val="superscript"/>
              </w:rPr>
              <w:t>3</w:t>
            </w:r>
            <w:r>
              <w:rPr>
                <w:rFonts w:hint="eastAsia" w:ascii="Times New Roman" w:cs="Times New Roman"/>
                <w:color w:val="auto"/>
              </w:rPr>
              <w:t>，需加装油烟净化系统</w:t>
            </w:r>
            <w:r>
              <w:rPr>
                <w:rFonts w:ascii="Times New Roman" w:cs="Times New Roman"/>
                <w:color w:val="auto"/>
              </w:rPr>
              <w:t>。</w:t>
            </w:r>
          </w:p>
          <w:p>
            <w:pPr>
              <w:widowControl/>
              <w:spacing w:line="360" w:lineRule="auto"/>
              <w:ind w:firstLine="480" w:firstLineChars="200"/>
              <w:jc w:val="left"/>
              <w:rPr>
                <w:sz w:val="24"/>
                <w:szCs w:val="24"/>
              </w:rPr>
            </w:pPr>
            <w:r>
              <w:rPr>
                <w:sz w:val="24"/>
                <w:szCs w:val="24"/>
              </w:rPr>
              <w:t>综上所述，项目各废气经有效处理后均可达标排放，对周围的环境可以接受。</w:t>
            </w:r>
          </w:p>
          <w:p>
            <w:pPr>
              <w:spacing w:line="360" w:lineRule="auto"/>
              <w:rPr>
                <w:b/>
                <w:sz w:val="24"/>
                <w:szCs w:val="24"/>
              </w:rPr>
            </w:pPr>
            <w:r>
              <w:rPr>
                <w:b/>
                <w:sz w:val="24"/>
                <w:szCs w:val="24"/>
              </w:rPr>
              <w:t>（二）水环境影响分析</w:t>
            </w:r>
          </w:p>
          <w:p>
            <w:pPr>
              <w:spacing w:line="360" w:lineRule="auto"/>
              <w:ind w:firstLine="480" w:firstLineChars="200"/>
              <w:rPr>
                <w:sz w:val="24"/>
                <w:szCs w:val="24"/>
              </w:rPr>
            </w:pPr>
            <w:r>
              <w:rPr>
                <w:rFonts w:hint="eastAsia"/>
                <w:sz w:val="24"/>
                <w:szCs w:val="24"/>
              </w:rPr>
              <w:t>（1）水环境影响</w:t>
            </w:r>
          </w:p>
          <w:p>
            <w:pPr>
              <w:spacing w:line="360" w:lineRule="auto"/>
              <w:ind w:firstLine="480" w:firstLineChars="200"/>
              <w:rPr>
                <w:sz w:val="24"/>
                <w:szCs w:val="24"/>
              </w:rPr>
            </w:pPr>
            <w:r>
              <w:rPr>
                <w:rFonts w:hint="eastAsia"/>
                <w:sz w:val="24"/>
                <w:szCs w:val="24"/>
              </w:rPr>
              <w:t>本项目主要废水为垃圾渗滤液、冲洗废水、生产废水及生活污水。</w:t>
            </w:r>
          </w:p>
          <w:p>
            <w:pPr>
              <w:pStyle w:val="105"/>
              <w:spacing w:line="360" w:lineRule="auto"/>
              <w:ind w:firstLine="480" w:firstLineChars="200"/>
              <w:jc w:val="both"/>
              <w:rPr>
                <w:rFonts w:ascii="Times New Roman"/>
                <w:color w:val="auto"/>
              </w:rPr>
            </w:pPr>
            <w:r>
              <w:rPr>
                <w:rFonts w:hint="eastAsia" w:ascii="Times New Roman"/>
                <w:color w:val="auto"/>
              </w:rPr>
              <w:t>根据工程分析，本项目全年产生垃圾渗滤液总量约为</w:t>
            </w:r>
            <w:r>
              <w:rPr>
                <w:rFonts w:ascii="Times New Roman"/>
                <w:color w:val="auto"/>
              </w:rPr>
              <w:t>630 m</w:t>
            </w:r>
            <w:r>
              <w:rPr>
                <w:rFonts w:ascii="Times New Roman"/>
                <w:color w:val="auto"/>
                <w:vertAlign w:val="superscript"/>
              </w:rPr>
              <w:t>3</w:t>
            </w:r>
            <w:r>
              <w:rPr>
                <w:rFonts w:hint="eastAsia" w:ascii="Times New Roman"/>
                <w:color w:val="auto"/>
              </w:rPr>
              <w:t>/a，冲洗废水产生量约</w:t>
            </w:r>
            <w:r>
              <w:rPr>
                <w:rFonts w:ascii="Times New Roman"/>
                <w:color w:val="auto"/>
              </w:rPr>
              <w:t>866.52m</w:t>
            </w:r>
            <w:r>
              <w:rPr>
                <w:rFonts w:ascii="Times New Roman"/>
                <w:color w:val="auto"/>
                <w:vertAlign w:val="superscript"/>
              </w:rPr>
              <w:t>3</w:t>
            </w:r>
            <w:r>
              <w:rPr>
                <w:rFonts w:ascii="Times New Roman"/>
                <w:color w:val="auto"/>
              </w:rPr>
              <w:t>/a</w:t>
            </w:r>
            <w:r>
              <w:rPr>
                <w:rFonts w:hint="eastAsia" w:ascii="Times New Roman"/>
                <w:color w:val="auto"/>
              </w:rPr>
              <w:t>，员工生活污水产生量约为</w:t>
            </w:r>
            <w:r>
              <w:rPr>
                <w:rFonts w:ascii="Times New Roman" w:cs="Times New Roman"/>
                <w:color w:val="auto"/>
              </w:rPr>
              <w:t>210.24</w:t>
            </w:r>
            <w:r>
              <w:rPr>
                <w:rFonts w:ascii="Times New Roman"/>
                <w:color w:val="auto"/>
              </w:rPr>
              <w:t>m</w:t>
            </w:r>
            <w:r>
              <w:rPr>
                <w:rFonts w:ascii="Times New Roman"/>
                <w:color w:val="auto"/>
                <w:vertAlign w:val="superscript"/>
              </w:rPr>
              <w:t>3</w:t>
            </w:r>
            <w:r>
              <w:rPr>
                <w:rFonts w:ascii="Times New Roman"/>
                <w:color w:val="auto"/>
              </w:rPr>
              <w:t>/a</w:t>
            </w:r>
            <w:r>
              <w:rPr>
                <w:rFonts w:hint="eastAsia" w:ascii="Times New Roman"/>
                <w:color w:val="auto"/>
              </w:rPr>
              <w:t>。垃圾渗滤液、冲洗废水成分复杂，不仅含有大量的有机污染物，还含有重金属和高浓度的植物性营养物，是一种高浓度的有机废水，考虑到项目渗滤液、地面冲洗废水产生量非常少，若自建污水处理站进行处理，将需要投入较高的成本，不具有经济可行性。转运车间的垃圾渗滤液及各类废水混合收集，混合废水中的</w:t>
            </w:r>
            <w:r>
              <w:rPr>
                <w:rFonts w:ascii="Times New Roman" w:cs="Times New Roman"/>
                <w:color w:val="auto"/>
              </w:rPr>
              <w:t>SS</w:t>
            </w:r>
            <w:r>
              <w:rPr>
                <w:rFonts w:hint="eastAsia" w:ascii="Times New Roman"/>
                <w:color w:val="auto"/>
              </w:rPr>
              <w:t>、</w:t>
            </w:r>
            <w:r>
              <w:rPr>
                <w:rFonts w:ascii="Times New Roman" w:cs="Times New Roman"/>
                <w:color w:val="auto"/>
              </w:rPr>
              <w:t>COD</w:t>
            </w:r>
            <w:r>
              <w:rPr>
                <w:rFonts w:ascii="Times New Roman" w:cs="Times New Roman"/>
                <w:color w:val="auto"/>
                <w:vertAlign w:val="subscript"/>
              </w:rPr>
              <w:t>cr</w:t>
            </w:r>
            <w:r>
              <w:rPr>
                <w:rFonts w:hint="eastAsia" w:ascii="Times New Roman"/>
                <w:color w:val="auto"/>
              </w:rPr>
              <w:t>、</w:t>
            </w:r>
            <w:r>
              <w:rPr>
                <w:rFonts w:ascii="Times New Roman" w:cs="Times New Roman"/>
                <w:color w:val="auto"/>
              </w:rPr>
              <w:t>BOD</w:t>
            </w:r>
            <w:r>
              <w:rPr>
                <w:rFonts w:ascii="Times New Roman" w:cs="Times New Roman"/>
                <w:color w:val="auto"/>
                <w:vertAlign w:val="subscript"/>
              </w:rPr>
              <w:t>5</w:t>
            </w:r>
            <w:r>
              <w:rPr>
                <w:rFonts w:hint="eastAsia" w:ascii="Times New Roman"/>
                <w:color w:val="auto"/>
              </w:rPr>
              <w:t>、氨氮等浓度显著降低。</w:t>
            </w:r>
          </w:p>
          <w:p>
            <w:pPr>
              <w:spacing w:line="360" w:lineRule="auto"/>
              <w:ind w:firstLine="480" w:firstLineChars="200"/>
              <w:rPr>
                <w:sz w:val="24"/>
                <w:szCs w:val="24"/>
              </w:rPr>
            </w:pPr>
            <w:r>
              <w:rPr>
                <w:rFonts w:hint="eastAsia"/>
                <w:sz w:val="24"/>
                <w:szCs w:val="24"/>
              </w:rPr>
              <w:t>因此，本项目将渗滤液及各类废水收集后，使用专用运输车将废水运至</w:t>
            </w:r>
            <w:r>
              <w:rPr>
                <w:rFonts w:hint="eastAsia" w:cs="宋体"/>
                <w:sz w:val="24"/>
                <w:szCs w:val="24"/>
              </w:rPr>
              <w:t>鹰手营子矿区</w:t>
            </w:r>
            <w:r>
              <w:rPr>
                <w:rFonts w:hint="eastAsia"/>
                <w:sz w:val="24"/>
                <w:szCs w:val="24"/>
              </w:rPr>
              <w:t>垃圾填埋场渗滤液处理站统一进行处理，经处理后达到生活垃圾填埋场污染控制标准》（</w:t>
            </w:r>
            <w:r>
              <w:rPr>
                <w:sz w:val="24"/>
                <w:szCs w:val="24"/>
              </w:rPr>
              <w:t>GB16889-2008</w:t>
            </w:r>
            <w:r>
              <w:rPr>
                <w:rFonts w:hint="eastAsia"/>
                <w:sz w:val="24"/>
                <w:szCs w:val="24"/>
              </w:rPr>
              <w:t>）表</w:t>
            </w:r>
            <w:r>
              <w:rPr>
                <w:sz w:val="24"/>
                <w:szCs w:val="24"/>
              </w:rPr>
              <w:t>2</w:t>
            </w:r>
            <w:r>
              <w:rPr>
                <w:rFonts w:hint="eastAsia"/>
                <w:sz w:val="24"/>
                <w:szCs w:val="24"/>
              </w:rPr>
              <w:t>规定的污染物排放浓度限值，处理后的废水在非雨季回灌垃圾堆体，在雨季排入污水处理厂进一步处理，排放标准达到</w:t>
            </w:r>
            <w:r>
              <w:rPr>
                <w:rFonts w:hint="eastAsia"/>
                <w:spacing w:val="-10"/>
                <w:sz w:val="24"/>
                <w:szCs w:val="24"/>
              </w:rPr>
              <w:t>《污水综合排放标准》（GB8978-1996）表4中的三级标准</w:t>
            </w:r>
            <w:r>
              <w:rPr>
                <w:rFonts w:hint="eastAsia"/>
                <w:sz w:val="24"/>
                <w:szCs w:val="24"/>
              </w:rPr>
              <w:t>。</w:t>
            </w:r>
          </w:p>
          <w:p>
            <w:pPr>
              <w:spacing w:line="360" w:lineRule="auto"/>
              <w:ind w:firstLine="480" w:firstLineChars="200"/>
              <w:rPr>
                <w:sz w:val="24"/>
                <w:szCs w:val="24"/>
              </w:rPr>
            </w:pPr>
            <w:r>
              <w:rPr>
                <w:rFonts w:hint="eastAsia"/>
                <w:sz w:val="24"/>
                <w:szCs w:val="24"/>
              </w:rPr>
              <w:t>（2）地下水</w:t>
            </w:r>
            <w:r>
              <w:rPr>
                <w:sz w:val="24"/>
                <w:szCs w:val="24"/>
              </w:rPr>
              <w:t>环境影响</w:t>
            </w:r>
          </w:p>
          <w:p>
            <w:pPr>
              <w:pStyle w:val="7"/>
              <w:spacing w:line="360" w:lineRule="auto"/>
              <w:ind w:firstLine="480"/>
              <w:rPr>
                <w:sz w:val="24"/>
              </w:rPr>
            </w:pPr>
            <w:r>
              <w:rPr>
                <w:rFonts w:hint="eastAsia"/>
                <w:sz w:val="24"/>
              </w:rPr>
              <w:t>项目</w:t>
            </w:r>
            <w:r>
              <w:rPr>
                <w:sz w:val="24"/>
              </w:rPr>
              <w:t>为IV</w:t>
            </w:r>
            <w:r>
              <w:rPr>
                <w:rFonts w:hint="eastAsia"/>
                <w:sz w:val="24"/>
              </w:rPr>
              <w:t>类</w:t>
            </w:r>
            <w:r>
              <w:rPr>
                <w:sz w:val="24"/>
              </w:rPr>
              <w:t>建设项目，</w:t>
            </w:r>
            <w:r>
              <w:rPr>
                <w:rFonts w:hint="eastAsia"/>
                <w:sz w:val="24"/>
              </w:rPr>
              <w:t>无需开展</w:t>
            </w:r>
            <w:r>
              <w:rPr>
                <w:sz w:val="24"/>
              </w:rPr>
              <w:t>地下水环境影响评价，本项目需对</w:t>
            </w:r>
            <w:r>
              <w:rPr>
                <w:rFonts w:hint="eastAsia"/>
                <w:sz w:val="24"/>
              </w:rPr>
              <w:t>污水收集池</w:t>
            </w:r>
            <w:r>
              <w:rPr>
                <w:sz w:val="24"/>
              </w:rPr>
              <w:t>进行</w:t>
            </w:r>
            <w:r>
              <w:rPr>
                <w:rFonts w:hint="eastAsia"/>
                <w:sz w:val="24"/>
              </w:rPr>
              <w:t>重点</w:t>
            </w:r>
            <w:r>
              <w:rPr>
                <w:sz w:val="24"/>
              </w:rPr>
              <w:t>防渗处理。一般防渗区</w:t>
            </w:r>
            <w:r>
              <w:rPr>
                <w:rFonts w:hint="eastAsia"/>
                <w:sz w:val="24"/>
              </w:rPr>
              <w:t>为压缩车间，</w:t>
            </w:r>
            <w:r>
              <w:rPr>
                <w:rFonts w:hint="eastAsia" w:cs="宋体"/>
                <w:sz w:val="24"/>
              </w:rPr>
              <w:t>采用改性沥青卷材防水层，各种缝的防水采用埋入式橡胶止水带。</w:t>
            </w:r>
            <w:r>
              <w:rPr>
                <w:sz w:val="24"/>
              </w:rPr>
              <w:t>重点防渗区</w:t>
            </w:r>
            <w:r>
              <w:rPr>
                <w:rFonts w:hint="eastAsia"/>
                <w:sz w:val="24"/>
              </w:rPr>
              <w:t>为污水收集池，底层采用</w:t>
            </w:r>
            <w:r>
              <w:rPr>
                <w:sz w:val="24"/>
              </w:rPr>
              <w:t>10</w:t>
            </w:r>
            <w:r>
              <w:rPr>
                <w:rFonts w:hint="eastAsia"/>
                <w:sz w:val="24"/>
              </w:rPr>
              <w:t>～</w:t>
            </w:r>
            <w:r>
              <w:rPr>
                <w:sz w:val="24"/>
              </w:rPr>
              <w:t>20cm</w:t>
            </w:r>
            <w:r>
              <w:rPr>
                <w:rFonts w:hint="eastAsia"/>
                <w:sz w:val="24"/>
              </w:rPr>
              <w:t>厚砖混，然后铺设</w:t>
            </w:r>
            <w:r>
              <w:rPr>
                <w:sz w:val="24"/>
              </w:rPr>
              <w:t>5-10</w:t>
            </w:r>
            <w:r>
              <w:rPr>
                <w:rFonts w:hint="eastAsia"/>
                <w:sz w:val="24"/>
              </w:rPr>
              <w:t>混凝土，最后涂抹一层防渗树脂。</w:t>
            </w:r>
          </w:p>
          <w:p>
            <w:pPr>
              <w:pStyle w:val="7"/>
              <w:spacing w:line="360" w:lineRule="auto"/>
              <w:ind w:firstLine="480"/>
              <w:rPr>
                <w:sz w:val="24"/>
              </w:rPr>
            </w:pPr>
            <w:r>
              <w:rPr>
                <w:sz w:val="24"/>
              </w:rPr>
              <w:t>采取上述措施后，</w:t>
            </w:r>
            <w:r>
              <w:rPr>
                <w:rFonts w:hint="eastAsia"/>
                <w:sz w:val="24"/>
              </w:rPr>
              <w:t>本项目</w:t>
            </w:r>
            <w:r>
              <w:rPr>
                <w:sz w:val="24"/>
              </w:rPr>
              <w:t>各单元防渗层可有效防渗，防止</w:t>
            </w:r>
            <w:r>
              <w:rPr>
                <w:rFonts w:hint="eastAsia"/>
                <w:sz w:val="24"/>
              </w:rPr>
              <w:t>污染物</w:t>
            </w:r>
            <w:r>
              <w:rPr>
                <w:sz w:val="24"/>
              </w:rPr>
              <w:t>对地下水的污染。在发生泄漏事故等非正常排放情况下，污染物不会渗入地下对地下水造成污染，可进一步避免项目建成后通过渗漏对地下水产生污染影响。</w:t>
            </w:r>
          </w:p>
          <w:p>
            <w:pPr>
              <w:spacing w:line="360" w:lineRule="auto"/>
              <w:ind w:firstLine="480" w:firstLineChars="200"/>
              <w:jc w:val="left"/>
              <w:rPr>
                <w:sz w:val="24"/>
                <w:szCs w:val="24"/>
              </w:rPr>
            </w:pPr>
            <w:r>
              <w:rPr>
                <w:sz w:val="24"/>
                <w:szCs w:val="24"/>
              </w:rPr>
              <w:t>综上所述，本项目</w:t>
            </w:r>
            <w:r>
              <w:rPr>
                <w:rFonts w:hint="eastAsia"/>
                <w:sz w:val="24"/>
                <w:szCs w:val="24"/>
              </w:rPr>
              <w:t>实施</w:t>
            </w:r>
            <w:r>
              <w:rPr>
                <w:sz w:val="24"/>
                <w:szCs w:val="24"/>
              </w:rPr>
              <w:t>不会对周围水环境产生明显影响。</w:t>
            </w:r>
          </w:p>
          <w:p>
            <w:pPr>
              <w:pStyle w:val="12"/>
              <w:spacing w:line="360" w:lineRule="auto"/>
              <w:ind w:left="0"/>
              <w:rPr>
                <w:b/>
                <w:bCs w:val="0"/>
                <w:kern w:val="0"/>
                <w:sz w:val="24"/>
                <w:szCs w:val="24"/>
              </w:rPr>
            </w:pPr>
            <w:r>
              <w:rPr>
                <w:b/>
                <w:bCs w:val="0"/>
                <w:kern w:val="0"/>
                <w:sz w:val="24"/>
                <w:szCs w:val="24"/>
              </w:rPr>
              <w:t>（三）声环境影响分析</w:t>
            </w:r>
          </w:p>
          <w:p>
            <w:pPr>
              <w:pStyle w:val="105"/>
              <w:spacing w:line="360" w:lineRule="auto"/>
              <w:ind w:firstLine="480" w:firstLineChars="200"/>
              <w:jc w:val="both"/>
              <w:rPr>
                <w:rFonts w:ascii="Times New Roman"/>
                <w:color w:val="auto"/>
              </w:rPr>
            </w:pPr>
            <w:r>
              <w:rPr>
                <w:rFonts w:hint="eastAsia" w:ascii="Times New Roman"/>
                <w:color w:val="auto"/>
              </w:rPr>
              <w:t>根据项目提供的资料及现场勘察，噪声主要来自水平压缩机、垃圾集装箱、车厢可卸式垃圾车（钩臂车）、高压清洗机等设备运行过程中产生的机械噪声，类比噪声值为</w:t>
            </w:r>
            <w:r>
              <w:rPr>
                <w:rFonts w:ascii="Times New Roman" w:cs="Times New Roman"/>
                <w:color w:val="auto"/>
              </w:rPr>
              <w:t>65~80dB</w:t>
            </w:r>
            <w:r>
              <w:rPr>
                <w:rFonts w:hint="eastAsia" w:ascii="Times New Roman"/>
                <w:color w:val="auto"/>
              </w:rPr>
              <w:t>（</w:t>
            </w:r>
            <w:r>
              <w:rPr>
                <w:rFonts w:ascii="Times New Roman" w:cs="Times New Roman"/>
                <w:color w:val="auto"/>
              </w:rPr>
              <w:t>A</w:t>
            </w:r>
            <w:r>
              <w:rPr>
                <w:rFonts w:hint="eastAsia" w:ascii="Times New Roman"/>
                <w:color w:val="auto"/>
              </w:rPr>
              <w:t>）。需做到以下噪声防治措施：</w:t>
            </w:r>
          </w:p>
          <w:p>
            <w:pPr>
              <w:autoSpaceDE w:val="0"/>
              <w:autoSpaceDN w:val="0"/>
              <w:spacing w:line="360" w:lineRule="auto"/>
              <w:ind w:firstLine="480" w:firstLineChars="200"/>
              <w:jc w:val="left"/>
              <w:textAlignment w:val="auto"/>
              <w:rPr>
                <w:rFonts w:cs="宋体"/>
                <w:sz w:val="24"/>
                <w:szCs w:val="24"/>
              </w:rPr>
            </w:pPr>
            <w:r>
              <w:rPr>
                <w:rFonts w:hint="eastAsia" w:cs="微软雅黑"/>
                <w:sz w:val="24"/>
                <w:szCs w:val="24"/>
              </w:rPr>
              <w:t>①</w:t>
            </w:r>
            <w:r>
              <w:rPr>
                <w:rFonts w:hint="eastAsia" w:cs="宋体"/>
                <w:sz w:val="24"/>
                <w:szCs w:val="24"/>
              </w:rPr>
              <w:t>合理布局，密闭隔声；对水泵等有震动设备，按照震动频率设置防振支座和减震垫，以减振降噪；建立设备定期检查、维护及保养的管理制度，以防止设备故障形成的非正常生产噪声，同时确保环保措施发挥最佳有效的功能；加强职工环保意识教育，提倡文明生产。</w:t>
            </w:r>
          </w:p>
          <w:p>
            <w:pPr>
              <w:autoSpaceDE w:val="0"/>
              <w:autoSpaceDN w:val="0"/>
              <w:spacing w:line="360" w:lineRule="auto"/>
              <w:ind w:firstLine="480" w:firstLineChars="200"/>
              <w:jc w:val="left"/>
              <w:textAlignment w:val="auto"/>
              <w:rPr>
                <w:rFonts w:cs="宋体"/>
                <w:sz w:val="24"/>
                <w:szCs w:val="24"/>
              </w:rPr>
            </w:pPr>
            <w:r>
              <w:rPr>
                <w:rFonts w:hint="eastAsia" w:cs="微软雅黑"/>
                <w:sz w:val="24"/>
                <w:szCs w:val="24"/>
              </w:rPr>
              <w:t>②</w:t>
            </w:r>
            <w:r>
              <w:rPr>
                <w:rFonts w:hint="eastAsia" w:cs="宋体"/>
                <w:sz w:val="24"/>
                <w:szCs w:val="24"/>
              </w:rPr>
              <w:t>选用低噪声、超低噪声设备，高噪声设备必须安装在加有减振垫的隔振基础上，同时设备之间保持间距，避免噪声叠加影响。</w:t>
            </w:r>
          </w:p>
          <w:p>
            <w:pPr>
              <w:autoSpaceDE w:val="0"/>
              <w:autoSpaceDN w:val="0"/>
              <w:spacing w:line="360" w:lineRule="auto"/>
              <w:ind w:firstLine="480" w:firstLineChars="200"/>
              <w:jc w:val="left"/>
              <w:textAlignment w:val="auto"/>
              <w:rPr>
                <w:rFonts w:cs="宋体"/>
                <w:sz w:val="24"/>
                <w:szCs w:val="24"/>
              </w:rPr>
            </w:pPr>
            <w:r>
              <w:rPr>
                <w:rFonts w:hint="eastAsia" w:cs="微软雅黑"/>
                <w:sz w:val="24"/>
                <w:szCs w:val="24"/>
              </w:rPr>
              <w:t>③</w:t>
            </w:r>
            <w:r>
              <w:rPr>
                <w:rFonts w:hint="eastAsia" w:cs="宋体"/>
                <w:sz w:val="24"/>
                <w:szCs w:val="24"/>
              </w:rPr>
              <w:t>车间墙体必须为实体墙，四周进行绿化隔音，以保证厂界噪声能够达标。加强设备的维护，确保设备处于良好的运转状态，杜绝因设备不正常运转时产生的高噪声现象。</w:t>
            </w:r>
          </w:p>
          <w:p>
            <w:pPr>
              <w:autoSpaceDE w:val="0"/>
              <w:autoSpaceDN w:val="0"/>
              <w:spacing w:line="360" w:lineRule="auto"/>
              <w:ind w:firstLine="480" w:firstLineChars="200"/>
              <w:jc w:val="left"/>
              <w:textAlignment w:val="auto"/>
              <w:rPr>
                <w:rFonts w:cs="宋体"/>
                <w:sz w:val="24"/>
                <w:szCs w:val="24"/>
              </w:rPr>
            </w:pPr>
            <w:r>
              <w:rPr>
                <w:rFonts w:hint="eastAsia" w:cs="宋体"/>
                <w:sz w:val="24"/>
                <w:szCs w:val="24"/>
              </w:rPr>
              <w:t>项目在采取噪声治理措施后，厂界噪声可满足《工业企业厂界环境噪声排放标准》（</w:t>
            </w:r>
            <w:r>
              <w:rPr>
                <w:rFonts w:cs="TimesNewRomanPSMT"/>
                <w:sz w:val="24"/>
                <w:szCs w:val="24"/>
              </w:rPr>
              <w:t>GB12348-2008</w:t>
            </w:r>
            <w:r>
              <w:rPr>
                <w:rFonts w:hint="eastAsia"/>
              </w:rPr>
              <w:t>）</w:t>
            </w:r>
            <w:r>
              <w:rPr>
                <w:rFonts w:cs="TimesNewRomanPSMT"/>
                <w:sz w:val="24"/>
                <w:szCs w:val="24"/>
              </w:rPr>
              <w:t>2</w:t>
            </w:r>
            <w:r>
              <w:rPr>
                <w:rFonts w:hint="eastAsia" w:cs="宋体"/>
                <w:sz w:val="24"/>
                <w:szCs w:val="24"/>
              </w:rPr>
              <w:t>类区标准的要求，对周围声环境影响较小。</w:t>
            </w:r>
          </w:p>
          <w:p>
            <w:pPr>
              <w:pStyle w:val="12"/>
              <w:spacing w:line="360" w:lineRule="auto"/>
              <w:ind w:left="0"/>
              <w:rPr>
                <w:b/>
                <w:bCs w:val="0"/>
                <w:kern w:val="0"/>
                <w:sz w:val="24"/>
                <w:szCs w:val="24"/>
              </w:rPr>
            </w:pPr>
            <w:r>
              <w:rPr>
                <w:b/>
                <w:bCs w:val="0"/>
                <w:kern w:val="0"/>
                <w:sz w:val="24"/>
                <w:szCs w:val="24"/>
              </w:rPr>
              <w:t>（四）固体废物环境影响分析</w:t>
            </w:r>
          </w:p>
          <w:p>
            <w:pPr>
              <w:pStyle w:val="105"/>
              <w:spacing w:line="360" w:lineRule="auto"/>
              <w:ind w:firstLine="480" w:firstLineChars="200"/>
              <w:rPr>
                <w:rFonts w:ascii="Times New Roman"/>
                <w:color w:val="auto"/>
              </w:rPr>
            </w:pPr>
            <w:r>
              <w:rPr>
                <w:rFonts w:hint="eastAsia" w:ascii="Times New Roman"/>
                <w:color w:val="auto"/>
              </w:rPr>
              <w:t>本项目产生的固体废物主要为员工生活垃圾及污水收集池产生的污泥。</w:t>
            </w:r>
          </w:p>
          <w:p>
            <w:pPr>
              <w:pStyle w:val="105"/>
              <w:spacing w:line="360" w:lineRule="auto"/>
              <w:ind w:firstLine="480" w:firstLineChars="200"/>
              <w:rPr>
                <w:rFonts w:ascii="Times New Roman"/>
                <w:color w:val="auto"/>
              </w:rPr>
            </w:pPr>
            <w:r>
              <w:rPr>
                <w:rFonts w:hint="eastAsia" w:ascii="Times New Roman"/>
                <w:color w:val="auto"/>
              </w:rPr>
              <w:t>生活垃圾：本项目员工人数为</w:t>
            </w:r>
            <w:r>
              <w:rPr>
                <w:rFonts w:ascii="Times New Roman" w:cs="Times New Roman"/>
                <w:color w:val="auto"/>
              </w:rPr>
              <w:t>16</w:t>
            </w:r>
            <w:r>
              <w:rPr>
                <w:rFonts w:hint="eastAsia" w:ascii="Times New Roman"/>
                <w:color w:val="auto"/>
              </w:rPr>
              <w:t>人，生活垃圾按每人</w:t>
            </w:r>
            <w:r>
              <w:rPr>
                <w:rFonts w:ascii="Times New Roman" w:cs="Times New Roman"/>
                <w:color w:val="auto"/>
              </w:rPr>
              <w:t>0.5kg/d</w:t>
            </w:r>
            <w:r>
              <w:rPr>
                <w:rFonts w:hint="eastAsia" w:ascii="Times New Roman"/>
                <w:color w:val="auto"/>
              </w:rPr>
              <w:t>的产生量计算，则生活垃圾产生量为</w:t>
            </w:r>
            <w:r>
              <w:rPr>
                <w:rFonts w:ascii="Times New Roman" w:cs="Times New Roman"/>
                <w:color w:val="auto"/>
              </w:rPr>
              <w:t>8kg/d</w:t>
            </w:r>
            <w:r>
              <w:rPr>
                <w:rFonts w:hint="eastAsia" w:ascii="Times New Roman"/>
                <w:color w:val="auto"/>
              </w:rPr>
              <w:t>（</w:t>
            </w:r>
            <w:r>
              <w:rPr>
                <w:rFonts w:ascii="Times New Roman"/>
                <w:color w:val="auto"/>
              </w:rPr>
              <w:t>2.92</w:t>
            </w:r>
            <w:r>
              <w:rPr>
                <w:rFonts w:hint="eastAsia" w:ascii="Times New Roman"/>
                <w:color w:val="auto"/>
              </w:rPr>
              <w:t>t/a）。</w:t>
            </w:r>
          </w:p>
          <w:p>
            <w:pPr>
              <w:pStyle w:val="105"/>
              <w:spacing w:line="360" w:lineRule="auto"/>
              <w:ind w:firstLine="480" w:firstLineChars="200"/>
              <w:rPr>
                <w:rFonts w:ascii="Times New Roman"/>
                <w:color w:val="auto"/>
              </w:rPr>
            </w:pPr>
            <w:r>
              <w:rPr>
                <w:rFonts w:hint="eastAsia" w:ascii="Times New Roman"/>
                <w:color w:val="auto"/>
              </w:rPr>
              <w:t>生活垃圾含有大量微生物，是病菌、病毒、害虫等的滋生地和繁殖地，严重地危害人身健康；垃圾中含有病原微生物、有机污染物和有毒的重金属等，在雨水的作用下，它们被带入水体，会造成地表水或地下水的严重污染，影响水生生物的生存和水资源的利用；细小固体废物会随风飞扬，加重大气污染。在大量垃圾露天堆放的场区臭气熏天，老鼠成灾，蚊蝇孳生，有大量氨、硫化物等有害气体向大气释放。本项目产生的所有生活垃圾均收集到本项目垃圾转运站中集中压缩处理，处理后运往垃圾处理站处理。</w:t>
            </w:r>
          </w:p>
          <w:p>
            <w:pPr>
              <w:pStyle w:val="105"/>
              <w:spacing w:line="360" w:lineRule="auto"/>
              <w:ind w:firstLine="480" w:firstLineChars="200"/>
              <w:rPr>
                <w:rFonts w:ascii="Times New Roman"/>
                <w:color w:val="auto"/>
              </w:rPr>
            </w:pPr>
            <w:r>
              <w:rPr>
                <w:rFonts w:hint="eastAsia" w:ascii="Times New Roman"/>
                <w:color w:val="auto"/>
              </w:rPr>
              <w:t>污水收集池产生的污泥由专业公司定期进行清掏，建议每半年或一年清掏一次。</w:t>
            </w:r>
          </w:p>
          <w:p>
            <w:pPr>
              <w:pStyle w:val="105"/>
              <w:spacing w:line="360" w:lineRule="auto"/>
              <w:ind w:firstLine="480" w:firstLineChars="200"/>
              <w:rPr>
                <w:rFonts w:ascii="Times New Roman"/>
                <w:color w:val="auto"/>
              </w:rPr>
            </w:pPr>
            <w:r>
              <w:rPr>
                <w:rFonts w:hint="eastAsia" w:ascii="Times New Roman"/>
                <w:color w:val="auto"/>
              </w:rPr>
              <w:t>综上所述，项目产生的固体废物通过以上措施处理后，可以得到及时、妥善的处理和处置，不会对周围环境产生大的污染影响。</w:t>
            </w:r>
          </w:p>
          <w:p>
            <w:pPr>
              <w:pStyle w:val="105"/>
              <w:spacing w:line="360" w:lineRule="auto"/>
              <w:rPr>
                <w:rFonts w:ascii="Times New Roman"/>
                <w:b/>
                <w:color w:val="auto"/>
              </w:rPr>
            </w:pPr>
            <w:r>
              <w:rPr>
                <w:rFonts w:hint="eastAsia" w:ascii="Times New Roman"/>
                <w:b/>
                <w:color w:val="auto"/>
              </w:rPr>
              <w:t>（五）项目选址合理性分析</w:t>
            </w:r>
          </w:p>
          <w:p>
            <w:pPr>
              <w:autoSpaceDE w:val="0"/>
              <w:autoSpaceDN w:val="0"/>
              <w:spacing w:line="360" w:lineRule="auto"/>
              <w:ind w:firstLine="480" w:firstLineChars="200"/>
              <w:jc w:val="left"/>
              <w:textAlignment w:val="auto"/>
              <w:rPr>
                <w:rFonts w:cs="宋体"/>
                <w:sz w:val="24"/>
                <w:szCs w:val="24"/>
              </w:rPr>
            </w:pPr>
            <w:r>
              <w:rPr>
                <w:rFonts w:hint="eastAsia" w:cs="宋体"/>
                <w:sz w:val="24"/>
                <w:szCs w:val="24"/>
              </w:rPr>
              <w:t>本项目位于承德市鹰手营子矿区。项目四周均为空地，符合城市总体规划和环境卫生专业规划的要求。综合考虑服务区域、转运能力、运输距离、污染控制、配套条件等因素的影响。设在交通便利，易安排清运线路的地方。满足供水、供电的要求。同时，转运站不应设在下列地区：立交桥或平交路口旁。大型商场、影剧院出人口等繁华地段；邻近学校、餐饮店等群众日常生活聚集场所。本项目厂址不在上述区域内，根据《生活垃圾转运站技术规范》</w:t>
            </w:r>
            <w:r>
              <w:rPr>
                <w:rFonts w:cs="TimesNewRomanPSMT"/>
                <w:sz w:val="24"/>
                <w:szCs w:val="24"/>
              </w:rPr>
              <w:t>(CJJ/T47-2016)</w:t>
            </w:r>
            <w:r>
              <w:rPr>
                <w:rFonts w:hint="eastAsia" w:cs="宋体"/>
                <w:sz w:val="24"/>
                <w:szCs w:val="24"/>
              </w:rPr>
              <w:t>中的相关要求，本项目垃圾转运站属于小型</w:t>
            </w:r>
            <w:r>
              <w:rPr>
                <w:rFonts w:cs="TimesNewRomanPSMT"/>
                <w:sz w:val="24"/>
                <w:szCs w:val="24"/>
              </w:rPr>
              <w:t>IV</w:t>
            </w:r>
            <w:r>
              <w:rPr>
                <w:rFonts w:hint="eastAsia" w:cs="宋体"/>
                <w:sz w:val="24"/>
                <w:szCs w:val="24"/>
              </w:rPr>
              <w:t>类垃圾站及小型</w:t>
            </w:r>
            <w:r>
              <w:rPr>
                <w:rFonts w:cs="TimesNewRomanPSMT"/>
                <w:sz w:val="24"/>
                <w:szCs w:val="24"/>
              </w:rPr>
              <w:t>V</w:t>
            </w:r>
            <w:r>
              <w:rPr>
                <w:rFonts w:hint="eastAsia" w:cs="宋体"/>
                <w:sz w:val="24"/>
                <w:szCs w:val="24"/>
              </w:rPr>
              <w:t>类垃圾站。结合技术规范，考虑到项目运营时恶臭无组织排放的不确定性，并考虑恶臭对周围居民生活的影响程度，本评价建议本项目卫生防护距离为</w:t>
            </w:r>
            <w:r>
              <w:rPr>
                <w:rFonts w:cs="TimesNewRomanPSMT"/>
                <w:sz w:val="24"/>
                <w:szCs w:val="24"/>
              </w:rPr>
              <w:t>50m</w:t>
            </w:r>
            <w:r>
              <w:rPr>
                <w:rFonts w:hint="eastAsia" w:cs="宋体"/>
                <w:sz w:val="24"/>
                <w:szCs w:val="24"/>
              </w:rPr>
              <w:t>，大气防护距离内不得有长期居住居民。在卫生防护距离</w:t>
            </w:r>
            <w:r>
              <w:rPr>
                <w:rFonts w:cs="TimesNewRomanPSMT"/>
                <w:sz w:val="24"/>
                <w:szCs w:val="24"/>
              </w:rPr>
              <w:t xml:space="preserve">50m </w:t>
            </w:r>
            <w:r>
              <w:rPr>
                <w:rFonts w:hint="eastAsia" w:cs="宋体"/>
                <w:sz w:val="24"/>
                <w:szCs w:val="24"/>
              </w:rPr>
              <w:t>内无居民等环境敏感保护目标，项目选址满足、《生活垃圾转运站技术规范》（</w:t>
            </w:r>
            <w:r>
              <w:rPr>
                <w:rFonts w:cs="TimesNewRomanPSMT"/>
                <w:sz w:val="24"/>
                <w:szCs w:val="24"/>
              </w:rPr>
              <w:t>CJJ/T47-2016)</w:t>
            </w:r>
            <w:r>
              <w:rPr>
                <w:rFonts w:hint="eastAsia" w:cs="宋体"/>
                <w:sz w:val="24"/>
                <w:szCs w:val="24"/>
              </w:rPr>
              <w:t>的相关要求，因此，选址合理。</w:t>
            </w:r>
          </w:p>
          <w:p>
            <w:pPr>
              <w:autoSpaceDE w:val="0"/>
              <w:autoSpaceDN w:val="0"/>
              <w:spacing w:line="360" w:lineRule="auto"/>
              <w:jc w:val="left"/>
              <w:textAlignment w:val="auto"/>
              <w:rPr>
                <w:rFonts w:cs="宋体"/>
                <w:b/>
                <w:sz w:val="24"/>
                <w:szCs w:val="24"/>
              </w:rPr>
            </w:pPr>
            <w:r>
              <w:rPr>
                <w:rFonts w:hint="eastAsia" w:cs="Wingdings-Regular"/>
                <w:b/>
                <w:sz w:val="24"/>
                <w:szCs w:val="24"/>
              </w:rPr>
              <w:t>（六）</w:t>
            </w:r>
            <w:r>
              <w:rPr>
                <w:rFonts w:hint="eastAsia" w:cs="宋体"/>
                <w:b/>
                <w:sz w:val="24"/>
                <w:szCs w:val="24"/>
              </w:rPr>
              <w:t>转运站的运行、维护、安全管理</w:t>
            </w:r>
          </w:p>
          <w:p>
            <w:pPr>
              <w:autoSpaceDE w:val="0"/>
              <w:autoSpaceDN w:val="0"/>
              <w:spacing w:line="360" w:lineRule="auto"/>
              <w:ind w:firstLine="482" w:firstLineChars="200"/>
              <w:jc w:val="left"/>
              <w:textAlignment w:val="auto"/>
              <w:rPr>
                <w:rFonts w:cs="宋体"/>
                <w:b/>
                <w:sz w:val="24"/>
                <w:szCs w:val="24"/>
              </w:rPr>
            </w:pPr>
            <w:r>
              <w:rPr>
                <w:rFonts w:hint="eastAsia" w:cs="宋体"/>
                <w:b/>
                <w:sz w:val="24"/>
                <w:szCs w:val="24"/>
              </w:rPr>
              <w:t>运行管理</w:t>
            </w:r>
          </w:p>
          <w:p>
            <w:pPr>
              <w:autoSpaceDE w:val="0"/>
              <w:autoSpaceDN w:val="0"/>
              <w:spacing w:line="360" w:lineRule="auto"/>
              <w:ind w:firstLine="480" w:firstLineChars="200"/>
              <w:jc w:val="left"/>
              <w:textAlignment w:val="auto"/>
              <w:rPr>
                <w:rFonts w:cs="宋体"/>
                <w:sz w:val="24"/>
                <w:szCs w:val="24"/>
              </w:rPr>
            </w:pPr>
            <w:r>
              <w:rPr>
                <w:rFonts w:hint="eastAsia" w:cs="宋体"/>
                <w:sz w:val="24"/>
                <w:szCs w:val="24"/>
              </w:rPr>
              <w:t>（</w:t>
            </w:r>
            <w:r>
              <w:rPr>
                <w:rFonts w:cs="TimesNewRomanPSMT"/>
                <w:sz w:val="24"/>
                <w:szCs w:val="24"/>
              </w:rPr>
              <w:t>1</w:t>
            </w:r>
            <w:r>
              <w:rPr>
                <w:rFonts w:hint="eastAsia" w:cs="宋体"/>
                <w:sz w:val="24"/>
                <w:szCs w:val="24"/>
              </w:rPr>
              <w:t>）一般规定</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1</w:t>
            </w:r>
            <w:r>
              <w:rPr>
                <w:rFonts w:hint="eastAsia" w:cs="宋体"/>
                <w:sz w:val="24"/>
                <w:szCs w:val="24"/>
              </w:rPr>
              <w:t>）转运站运行管理人员应掌握转运站的工艺流程、技术要求和有关设施、设备的主要技术指标及运行管理要求。</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2</w:t>
            </w:r>
            <w:r>
              <w:rPr>
                <w:rFonts w:hint="eastAsia" w:cs="宋体"/>
                <w:sz w:val="24"/>
                <w:szCs w:val="24"/>
              </w:rPr>
              <w:t>）转运站运行操作人员应具有相关工艺技能，熟悉本岗位工作职责与质量要求；熟悉本岗位设施、设备的技术性能和运行、维护、安全操作规程。</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3</w:t>
            </w:r>
            <w:r>
              <w:rPr>
                <w:rFonts w:hint="eastAsia" w:cs="宋体"/>
                <w:sz w:val="24"/>
                <w:szCs w:val="24"/>
              </w:rPr>
              <w:t>）转运站运行管理人员和操作人员必须进行上岗前的培训。经考核合格后持证上岗。</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4</w:t>
            </w:r>
            <w:r>
              <w:rPr>
                <w:rFonts w:hint="eastAsia" w:cs="宋体"/>
                <w:sz w:val="24"/>
                <w:szCs w:val="24"/>
              </w:rPr>
              <w:t>）转运站运行操作人员应坚守岗位，认真做好运行记录；管理人员应定期检查设施、设备、仪器、仪表的运行情况；发现异常情况，应及时采取相应处理措施，并按照分级管理的原则及时上报。操作人员应做好当班工作记录和交接班记录。</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5</w:t>
            </w:r>
            <w:r>
              <w:rPr>
                <w:rFonts w:hint="eastAsia" w:cs="宋体"/>
                <w:sz w:val="24"/>
                <w:szCs w:val="24"/>
              </w:rPr>
              <w:t>）转运站运行操作人员应按规定要求操作使用各种机械设备、仪器、仪表。</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6</w:t>
            </w:r>
            <w:r>
              <w:rPr>
                <w:rFonts w:hint="eastAsia" w:cs="宋体"/>
                <w:sz w:val="24"/>
                <w:szCs w:val="24"/>
              </w:rPr>
              <w:t>）现场电压超出电气设备额定电压±</w:t>
            </w:r>
            <w:r>
              <w:rPr>
                <w:rFonts w:cs="TimesNewRomanPSMT"/>
                <w:sz w:val="24"/>
                <w:szCs w:val="24"/>
              </w:rPr>
              <w:t>10%</w:t>
            </w:r>
            <w:r>
              <w:rPr>
                <w:rFonts w:hint="eastAsia" w:cs="宋体"/>
                <w:sz w:val="24"/>
                <w:szCs w:val="24"/>
              </w:rPr>
              <w:t>时不得启动电气设备。</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7</w:t>
            </w:r>
            <w:r>
              <w:rPr>
                <w:rFonts w:hint="eastAsia" w:cs="宋体"/>
                <w:sz w:val="24"/>
                <w:szCs w:val="24"/>
              </w:rPr>
              <w:t>）转运站应保持通风、除尘、除臭设施设备完好。</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8</w:t>
            </w:r>
            <w:r>
              <w:rPr>
                <w:rFonts w:hint="eastAsia" w:cs="宋体"/>
                <w:sz w:val="24"/>
                <w:szCs w:val="24"/>
              </w:rPr>
              <w:t>）转运站应建立各种机械设备、仪器仪表使用、维护技术档案，并应规范管理各种运行、维护、监测记录等技术资料。</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9</w:t>
            </w:r>
            <w:r>
              <w:rPr>
                <w:rFonts w:hint="eastAsia" w:cs="宋体"/>
                <w:sz w:val="24"/>
                <w:szCs w:val="24"/>
              </w:rPr>
              <w:t>）站内交通标志应规范清楚，通道应保持畅通。</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10</w:t>
            </w:r>
            <w:r>
              <w:rPr>
                <w:rFonts w:hint="eastAsia" w:cs="宋体"/>
                <w:sz w:val="24"/>
                <w:szCs w:val="24"/>
              </w:rPr>
              <w:t>）车辆的使用、维修应规范管理，并应做好记录。</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11</w:t>
            </w:r>
            <w:r>
              <w:rPr>
                <w:rFonts w:hint="eastAsia" w:cs="宋体"/>
                <w:sz w:val="24"/>
                <w:szCs w:val="24"/>
              </w:rPr>
              <w:t>）外来车辆和人员进站均应登记。</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12</w:t>
            </w:r>
            <w:r>
              <w:rPr>
                <w:rFonts w:hint="eastAsia" w:cs="宋体"/>
                <w:sz w:val="24"/>
                <w:szCs w:val="24"/>
              </w:rPr>
              <w:t>）操作人员应随进检查进站垃圾成分。严禁危险废物、违禁废物进站。</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13</w:t>
            </w:r>
            <w:r>
              <w:rPr>
                <w:rFonts w:hint="eastAsia" w:cs="宋体"/>
                <w:sz w:val="24"/>
                <w:szCs w:val="24"/>
              </w:rPr>
              <w:t>）转运站应保持文明整洁的站容、站貌。</w:t>
            </w:r>
          </w:p>
          <w:p>
            <w:pPr>
              <w:autoSpaceDE w:val="0"/>
              <w:autoSpaceDN w:val="0"/>
              <w:spacing w:line="360" w:lineRule="auto"/>
              <w:ind w:firstLine="480" w:firstLineChars="200"/>
              <w:jc w:val="left"/>
              <w:textAlignment w:val="auto"/>
              <w:rPr>
                <w:rFonts w:cs="宋体"/>
                <w:sz w:val="24"/>
                <w:szCs w:val="24"/>
              </w:rPr>
            </w:pPr>
            <w:r>
              <w:rPr>
                <w:rFonts w:hint="eastAsia" w:cs="宋体"/>
                <w:sz w:val="24"/>
                <w:szCs w:val="24"/>
              </w:rPr>
              <w:t>（</w:t>
            </w:r>
            <w:r>
              <w:rPr>
                <w:rFonts w:cs="TimesNewRomanPSMT"/>
                <w:sz w:val="24"/>
                <w:szCs w:val="24"/>
              </w:rPr>
              <w:t>2</w:t>
            </w:r>
            <w:r>
              <w:rPr>
                <w:rFonts w:hint="eastAsia" w:cs="宋体"/>
                <w:sz w:val="24"/>
                <w:szCs w:val="24"/>
              </w:rPr>
              <w:t>）计量</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1</w:t>
            </w:r>
            <w:r>
              <w:rPr>
                <w:rFonts w:hint="eastAsia" w:cs="宋体"/>
                <w:sz w:val="24"/>
                <w:szCs w:val="24"/>
              </w:rPr>
              <w:t>）垃圾计量系统应保持完好，各种设备应保持正常使用。</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2</w:t>
            </w:r>
            <w:r>
              <w:rPr>
                <w:rFonts w:hint="eastAsia" w:cs="宋体"/>
                <w:sz w:val="24"/>
                <w:szCs w:val="24"/>
              </w:rPr>
              <w:t>）应按有关规定定期检验地磅计量误差，并挂合格证。</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3</w:t>
            </w:r>
            <w:r>
              <w:rPr>
                <w:rFonts w:hint="eastAsia" w:cs="宋体"/>
                <w:sz w:val="24"/>
                <w:szCs w:val="24"/>
              </w:rPr>
              <w:t>）进站垃圾应登记其来源、性质、重量、运输单位和车号。</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4</w:t>
            </w:r>
            <w:r>
              <w:rPr>
                <w:rFonts w:hint="eastAsia" w:cs="宋体"/>
                <w:sz w:val="24"/>
                <w:szCs w:val="24"/>
              </w:rPr>
              <w:t>）操作人员应做好每日进站垃圾资料备份和每月统计报表工作。</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5</w:t>
            </w:r>
            <w:r>
              <w:rPr>
                <w:rFonts w:hint="eastAsia" w:cs="宋体"/>
                <w:sz w:val="24"/>
                <w:szCs w:val="24"/>
              </w:rPr>
              <w:t>）计量系统出现故障时，应采取应急手工记录，当系统修复后应将有关数据输入计量系统，保持记录完整准确。</w:t>
            </w:r>
          </w:p>
          <w:p>
            <w:pPr>
              <w:autoSpaceDE w:val="0"/>
              <w:autoSpaceDN w:val="0"/>
              <w:spacing w:line="360" w:lineRule="auto"/>
              <w:ind w:firstLine="480" w:firstLineChars="200"/>
              <w:jc w:val="left"/>
              <w:textAlignment w:val="auto"/>
              <w:rPr>
                <w:rFonts w:cs="宋体"/>
                <w:sz w:val="24"/>
                <w:szCs w:val="24"/>
              </w:rPr>
            </w:pPr>
            <w:r>
              <w:rPr>
                <w:rFonts w:hint="eastAsia" w:cs="宋体"/>
                <w:sz w:val="24"/>
                <w:szCs w:val="24"/>
              </w:rPr>
              <w:t>（</w:t>
            </w:r>
            <w:r>
              <w:rPr>
                <w:rFonts w:cs="TimesNewRomanPSMT"/>
                <w:sz w:val="24"/>
                <w:szCs w:val="24"/>
              </w:rPr>
              <w:t>3</w:t>
            </w:r>
            <w:r>
              <w:rPr>
                <w:rFonts w:hint="eastAsia" w:cs="宋体"/>
                <w:sz w:val="24"/>
                <w:szCs w:val="24"/>
              </w:rPr>
              <w:t>）卸料</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1</w:t>
            </w:r>
            <w:r>
              <w:rPr>
                <w:rFonts w:hint="eastAsia" w:cs="宋体"/>
                <w:sz w:val="24"/>
                <w:szCs w:val="24"/>
              </w:rPr>
              <w:t>）设备保护装置失灵或工作状态不正常时，严禁操作设备，以避免人员伤亡和设备损坏。</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2</w:t>
            </w:r>
            <w:r>
              <w:rPr>
                <w:rFonts w:hint="eastAsia" w:cs="宋体"/>
                <w:sz w:val="24"/>
                <w:szCs w:val="24"/>
              </w:rPr>
              <w:t>）倾倒垃圾前必须检查卸料区域和设备运转区域，确保无异常情况。</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3</w:t>
            </w:r>
            <w:r>
              <w:rPr>
                <w:rFonts w:hint="eastAsia" w:cs="宋体"/>
                <w:sz w:val="24"/>
                <w:szCs w:val="24"/>
              </w:rPr>
              <w:t>）垃圾收集运输车辆必须按指定路线到达卸料平台，并应在工作人员的调度下，将垃圾卸入指定区域内。</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4</w:t>
            </w:r>
            <w:r>
              <w:rPr>
                <w:rFonts w:hint="eastAsia" w:cs="宋体"/>
                <w:sz w:val="24"/>
                <w:szCs w:val="24"/>
              </w:rPr>
              <w:t>）卸料时，必须同时启动通风、除尘、除臭系统。</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5</w:t>
            </w:r>
            <w:r>
              <w:rPr>
                <w:rFonts w:hint="eastAsia" w:cs="宋体"/>
                <w:sz w:val="24"/>
                <w:szCs w:val="24"/>
              </w:rPr>
              <w:t>）发现大件垃圾，应及时清除处理；发现违禁废物，应及时报告，妥善处理。</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6</w:t>
            </w:r>
            <w:r>
              <w:rPr>
                <w:rFonts w:hint="eastAsia" w:cs="宋体"/>
                <w:sz w:val="24"/>
                <w:szCs w:val="24"/>
              </w:rPr>
              <w:t>）垃圾收集运输车卸料完毕后，应及时退出作业区。</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7</w:t>
            </w:r>
            <w:r>
              <w:rPr>
                <w:rFonts w:hint="eastAsia" w:cs="宋体"/>
                <w:sz w:val="24"/>
                <w:szCs w:val="24"/>
              </w:rPr>
              <w:t>）卸料平台应保持清洁。</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8</w:t>
            </w:r>
            <w:r>
              <w:rPr>
                <w:rFonts w:hint="eastAsia" w:cs="宋体"/>
                <w:sz w:val="24"/>
                <w:szCs w:val="24"/>
              </w:rPr>
              <w:t>）站区内应防止蚊蝇、鼠类等滋生，并应定期消杀。</w:t>
            </w:r>
          </w:p>
          <w:p>
            <w:pPr>
              <w:autoSpaceDE w:val="0"/>
              <w:autoSpaceDN w:val="0"/>
              <w:spacing w:line="360" w:lineRule="auto"/>
              <w:ind w:firstLine="480" w:firstLineChars="200"/>
              <w:jc w:val="left"/>
              <w:textAlignment w:val="auto"/>
              <w:rPr>
                <w:rFonts w:cs="宋体"/>
                <w:sz w:val="24"/>
                <w:szCs w:val="24"/>
              </w:rPr>
            </w:pPr>
            <w:r>
              <w:rPr>
                <w:rFonts w:hint="eastAsia" w:cs="宋体"/>
                <w:sz w:val="24"/>
                <w:szCs w:val="24"/>
              </w:rPr>
              <w:t>（</w:t>
            </w:r>
            <w:r>
              <w:rPr>
                <w:rFonts w:cs="TimesNewRomanPSMT"/>
                <w:sz w:val="24"/>
                <w:szCs w:val="24"/>
              </w:rPr>
              <w:t>4</w:t>
            </w:r>
            <w:r>
              <w:rPr>
                <w:rFonts w:hint="eastAsia" w:cs="宋体"/>
                <w:sz w:val="24"/>
                <w:szCs w:val="24"/>
              </w:rPr>
              <w:t>）填装与压缩</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1</w:t>
            </w:r>
            <w:r>
              <w:rPr>
                <w:rFonts w:hint="eastAsia" w:cs="宋体"/>
                <w:sz w:val="24"/>
                <w:szCs w:val="24"/>
              </w:rPr>
              <w:t>）垃圾压缩设备应保持正常工作状态。</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2</w:t>
            </w:r>
            <w:r>
              <w:rPr>
                <w:rFonts w:hint="eastAsia" w:cs="宋体"/>
                <w:sz w:val="24"/>
                <w:szCs w:val="24"/>
              </w:rPr>
              <w:t>）操作人员应按填装与压缩工艺技术要求操作，并保证工艺流程的稳定性和各工艺步骤的协调性。</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3</w:t>
            </w:r>
            <w:r>
              <w:rPr>
                <w:rFonts w:hint="eastAsia" w:cs="宋体"/>
                <w:sz w:val="24"/>
                <w:szCs w:val="24"/>
              </w:rPr>
              <w:t>）转运站内垃圾渗沥液收集设施应做好日常维护工作。</w:t>
            </w:r>
          </w:p>
          <w:p>
            <w:pPr>
              <w:autoSpaceDE w:val="0"/>
              <w:autoSpaceDN w:val="0"/>
              <w:spacing w:line="360" w:lineRule="auto"/>
              <w:ind w:firstLine="480" w:firstLineChars="200"/>
              <w:jc w:val="left"/>
              <w:textAlignment w:val="auto"/>
              <w:rPr>
                <w:rFonts w:cs="宋体"/>
                <w:sz w:val="24"/>
                <w:szCs w:val="24"/>
              </w:rPr>
            </w:pPr>
            <w:r>
              <w:rPr>
                <w:rFonts w:hint="eastAsia" w:cs="宋体"/>
                <w:sz w:val="24"/>
                <w:szCs w:val="24"/>
              </w:rPr>
              <w:t>（</w:t>
            </w:r>
            <w:r>
              <w:rPr>
                <w:rFonts w:cs="TimesNewRomanPSMT"/>
                <w:sz w:val="24"/>
                <w:szCs w:val="24"/>
              </w:rPr>
              <w:t>5</w:t>
            </w:r>
            <w:r>
              <w:rPr>
                <w:rFonts w:hint="eastAsia" w:cs="宋体"/>
                <w:sz w:val="24"/>
                <w:szCs w:val="24"/>
              </w:rPr>
              <w:t>）转运容器装卸</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1</w:t>
            </w:r>
            <w:r>
              <w:rPr>
                <w:rFonts w:hint="eastAsia" w:cs="宋体"/>
                <w:sz w:val="24"/>
                <w:szCs w:val="24"/>
              </w:rPr>
              <w:t>）转运站应做好垃圾转运车的指挥调度工作。</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2</w:t>
            </w:r>
            <w:r>
              <w:rPr>
                <w:rFonts w:hint="eastAsia" w:cs="宋体"/>
                <w:sz w:val="24"/>
                <w:szCs w:val="24"/>
              </w:rPr>
              <w:t>）转运车到达垃圾接受场所后，应按照规定倾倒垃圾。倒空的容器应运回转运站备用。车体及容器必须清理干净。</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3</w:t>
            </w:r>
            <w:r>
              <w:rPr>
                <w:rFonts w:hint="eastAsia" w:cs="宋体"/>
                <w:sz w:val="24"/>
                <w:szCs w:val="24"/>
              </w:rPr>
              <w:t>）垃圾推入垃圾转运容器前，应将转运容器与压缩机对接好。转运容器装满后，应将容器封板关好。</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4</w:t>
            </w:r>
            <w:r>
              <w:rPr>
                <w:rFonts w:hint="eastAsia" w:cs="宋体"/>
                <w:sz w:val="24"/>
                <w:szCs w:val="24"/>
              </w:rPr>
              <w:t>）操作完毕后应及时清理作业区。</w:t>
            </w:r>
          </w:p>
          <w:p>
            <w:pPr>
              <w:autoSpaceDE w:val="0"/>
              <w:autoSpaceDN w:val="0"/>
              <w:spacing w:line="360" w:lineRule="auto"/>
              <w:ind w:firstLine="480" w:firstLineChars="200"/>
              <w:jc w:val="left"/>
              <w:textAlignment w:val="auto"/>
              <w:rPr>
                <w:rFonts w:cs="宋体"/>
                <w:sz w:val="24"/>
                <w:szCs w:val="24"/>
              </w:rPr>
            </w:pPr>
            <w:r>
              <w:rPr>
                <w:rFonts w:hint="eastAsia" w:cs="宋体"/>
                <w:sz w:val="24"/>
                <w:szCs w:val="24"/>
              </w:rPr>
              <w:t>（</w:t>
            </w:r>
            <w:r>
              <w:rPr>
                <w:rFonts w:cs="TimesNewRomanPSMT"/>
                <w:sz w:val="24"/>
                <w:szCs w:val="24"/>
              </w:rPr>
              <w:t>6</w:t>
            </w:r>
            <w:r>
              <w:rPr>
                <w:rFonts w:hint="eastAsia" w:cs="宋体"/>
                <w:sz w:val="24"/>
                <w:szCs w:val="24"/>
              </w:rPr>
              <w:t>）污水收集</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1</w:t>
            </w:r>
            <w:r>
              <w:rPr>
                <w:rFonts w:hint="eastAsia" w:cs="宋体"/>
                <w:sz w:val="24"/>
                <w:szCs w:val="24"/>
              </w:rPr>
              <w:t>）转运站污水收集系统应保持完好，并应加强雨污分流管理。</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2</w:t>
            </w:r>
            <w:r>
              <w:rPr>
                <w:rFonts w:hint="eastAsia" w:cs="宋体"/>
                <w:sz w:val="24"/>
                <w:szCs w:val="24"/>
              </w:rPr>
              <w:t>）转运站生活污水、洗车污水、地面清洗污水和垃圾填装、压缩及转运过程中产生的渗沥液的收集、贮存、运输、处理，必须符合国家有关规定。</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3</w:t>
            </w:r>
            <w:r>
              <w:rPr>
                <w:rFonts w:hint="eastAsia" w:cs="宋体"/>
                <w:sz w:val="24"/>
                <w:szCs w:val="24"/>
              </w:rPr>
              <w:t>）转运站污水的排放应按国家与地方标准的有关要求预处理后排入城市污水管网或单独处理达标后排放。</w:t>
            </w:r>
          </w:p>
          <w:p>
            <w:pPr>
              <w:autoSpaceDE w:val="0"/>
              <w:autoSpaceDN w:val="0"/>
              <w:spacing w:line="360" w:lineRule="auto"/>
              <w:ind w:firstLine="482" w:firstLineChars="200"/>
              <w:jc w:val="left"/>
              <w:textAlignment w:val="auto"/>
              <w:rPr>
                <w:rFonts w:cs="宋体"/>
                <w:b/>
                <w:sz w:val="24"/>
                <w:szCs w:val="24"/>
              </w:rPr>
            </w:pPr>
            <w:r>
              <w:rPr>
                <w:rFonts w:hint="eastAsia" w:cs="宋体"/>
                <w:b/>
                <w:sz w:val="24"/>
                <w:szCs w:val="24"/>
              </w:rPr>
              <w:t>维护保养</w:t>
            </w:r>
          </w:p>
          <w:p>
            <w:pPr>
              <w:autoSpaceDE w:val="0"/>
              <w:autoSpaceDN w:val="0"/>
              <w:spacing w:line="360" w:lineRule="auto"/>
              <w:ind w:firstLine="480" w:firstLineChars="200"/>
              <w:jc w:val="left"/>
              <w:textAlignment w:val="auto"/>
              <w:rPr>
                <w:rFonts w:cs="宋体"/>
                <w:sz w:val="24"/>
                <w:szCs w:val="24"/>
              </w:rPr>
            </w:pPr>
            <w:r>
              <w:rPr>
                <w:rFonts w:hint="eastAsia" w:cs="TimesNewRomanPSMT"/>
                <w:sz w:val="24"/>
                <w:szCs w:val="24"/>
              </w:rPr>
              <w:t>1</w:t>
            </w:r>
            <w:r>
              <w:rPr>
                <w:rFonts w:hint="eastAsia" w:cs="宋体"/>
                <w:sz w:val="24"/>
                <w:szCs w:val="24"/>
              </w:rPr>
              <w:t>）转运站供电设施、设备，电气、照明设备，通信管线等应定期检查维护。</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2</w:t>
            </w:r>
            <w:r>
              <w:rPr>
                <w:rFonts w:hint="eastAsia" w:cs="宋体"/>
                <w:sz w:val="24"/>
                <w:szCs w:val="24"/>
              </w:rPr>
              <w:t>）转运站内通道、给水、排水、除尘、脱臭等设施应定期检查维护，发现异常及</w:t>
            </w:r>
          </w:p>
          <w:p>
            <w:pPr>
              <w:autoSpaceDE w:val="0"/>
              <w:autoSpaceDN w:val="0"/>
              <w:spacing w:line="360" w:lineRule="auto"/>
              <w:ind w:firstLine="480" w:firstLineChars="200"/>
              <w:jc w:val="left"/>
              <w:textAlignment w:val="auto"/>
              <w:rPr>
                <w:rFonts w:cs="宋体"/>
                <w:sz w:val="24"/>
                <w:szCs w:val="24"/>
              </w:rPr>
            </w:pPr>
            <w:r>
              <w:rPr>
                <w:rFonts w:hint="eastAsia" w:cs="宋体"/>
                <w:sz w:val="24"/>
                <w:szCs w:val="24"/>
              </w:rPr>
              <w:t>时修复。</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3</w:t>
            </w:r>
            <w:r>
              <w:rPr>
                <w:rFonts w:hint="eastAsia" w:cs="宋体"/>
                <w:sz w:val="24"/>
                <w:szCs w:val="24"/>
              </w:rPr>
              <w:t>）转运站内各种机械设备应进行日常维护保养，并应按照有关规定进行大、中、小修。</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4</w:t>
            </w:r>
            <w:r>
              <w:rPr>
                <w:rFonts w:hint="eastAsia" w:cs="宋体"/>
                <w:sz w:val="24"/>
                <w:szCs w:val="24"/>
              </w:rPr>
              <w:t>）转运站避雷、防爆等装置应按照有关规定进行检测维护。</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5</w:t>
            </w:r>
            <w:r>
              <w:rPr>
                <w:rFonts w:hint="eastAsia" w:cs="宋体"/>
                <w:sz w:val="24"/>
                <w:szCs w:val="24"/>
              </w:rPr>
              <w:t>）转运站消防设施、设备应按有关消防规定进行检查、更换。</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6</w:t>
            </w:r>
            <w:r>
              <w:rPr>
                <w:rFonts w:hint="eastAsia" w:cs="宋体"/>
                <w:sz w:val="24"/>
                <w:szCs w:val="24"/>
              </w:rPr>
              <w:t>）转运站内各种交通、警示标志应定期检查、更换。</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7</w:t>
            </w:r>
            <w:r>
              <w:rPr>
                <w:rFonts w:hint="eastAsia" w:cs="宋体"/>
                <w:sz w:val="24"/>
                <w:szCs w:val="24"/>
              </w:rPr>
              <w:t>）贵重、精密仪器设备应由专人管理。</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8</w:t>
            </w:r>
            <w:r>
              <w:rPr>
                <w:rFonts w:hint="eastAsia" w:cs="宋体"/>
                <w:sz w:val="24"/>
                <w:szCs w:val="24"/>
              </w:rPr>
              <w:t>）计量仪器的检修和核定应定期进行，并挂合格证。</w:t>
            </w:r>
          </w:p>
          <w:p>
            <w:pPr>
              <w:spacing w:line="360" w:lineRule="auto"/>
              <w:ind w:firstLine="480" w:firstLineChars="200"/>
              <w:rPr>
                <w:rFonts w:cs="宋体"/>
                <w:sz w:val="24"/>
                <w:szCs w:val="24"/>
              </w:rPr>
            </w:pPr>
            <w:r>
              <w:rPr>
                <w:rFonts w:cs="TimesNewRomanPSMT"/>
                <w:sz w:val="24"/>
                <w:szCs w:val="24"/>
              </w:rPr>
              <w:t>9</w:t>
            </w:r>
            <w:r>
              <w:rPr>
                <w:rFonts w:hint="eastAsia" w:cs="宋体"/>
                <w:sz w:val="24"/>
                <w:szCs w:val="24"/>
              </w:rPr>
              <w:t>）监测仪器及取样器应保持清洁。</w:t>
            </w:r>
          </w:p>
          <w:p>
            <w:pPr>
              <w:autoSpaceDE w:val="0"/>
              <w:autoSpaceDN w:val="0"/>
              <w:spacing w:line="360" w:lineRule="auto"/>
              <w:ind w:firstLine="482" w:firstLineChars="200"/>
              <w:jc w:val="left"/>
              <w:textAlignment w:val="auto"/>
              <w:rPr>
                <w:rFonts w:cs="宋体"/>
                <w:b/>
                <w:sz w:val="24"/>
                <w:szCs w:val="24"/>
              </w:rPr>
            </w:pPr>
            <w:r>
              <w:rPr>
                <w:rFonts w:hint="eastAsia" w:cs="宋体"/>
                <w:b/>
                <w:sz w:val="24"/>
                <w:szCs w:val="24"/>
              </w:rPr>
              <w:t>安全操作</w:t>
            </w:r>
          </w:p>
          <w:p>
            <w:pPr>
              <w:autoSpaceDE w:val="0"/>
              <w:autoSpaceDN w:val="0"/>
              <w:spacing w:line="360" w:lineRule="auto"/>
              <w:ind w:firstLine="480" w:firstLineChars="200"/>
              <w:jc w:val="left"/>
              <w:textAlignment w:val="auto"/>
              <w:rPr>
                <w:rFonts w:cs="宋体"/>
                <w:sz w:val="24"/>
                <w:szCs w:val="24"/>
              </w:rPr>
            </w:pPr>
            <w:r>
              <w:rPr>
                <w:rFonts w:hint="eastAsia" w:cs="宋体"/>
                <w:sz w:val="24"/>
                <w:szCs w:val="24"/>
              </w:rPr>
              <w:t>（</w:t>
            </w:r>
            <w:r>
              <w:rPr>
                <w:rFonts w:cs="TimesNewRomanPSMT"/>
                <w:sz w:val="24"/>
                <w:szCs w:val="24"/>
              </w:rPr>
              <w:t>1</w:t>
            </w:r>
            <w:r>
              <w:rPr>
                <w:rFonts w:hint="eastAsia" w:cs="宋体"/>
                <w:sz w:val="24"/>
                <w:szCs w:val="24"/>
              </w:rPr>
              <w:t>）一般规定</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1</w:t>
            </w:r>
            <w:r>
              <w:rPr>
                <w:rFonts w:hint="eastAsia" w:cs="宋体"/>
                <w:sz w:val="24"/>
                <w:szCs w:val="24"/>
              </w:rPr>
              <w:t>）转运站应制定操作和管理人员安全与卫生管理规定；并应严格执行各岗位安全操作规程。</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2</w:t>
            </w:r>
            <w:r>
              <w:rPr>
                <w:rFonts w:hint="eastAsia" w:cs="宋体"/>
                <w:sz w:val="24"/>
                <w:szCs w:val="24"/>
              </w:rPr>
              <w:t>）生产作业过程安全卫生管理应符合现行国家标准《生产过程安全卫生要求总则》</w:t>
            </w:r>
            <w:r>
              <w:rPr>
                <w:rFonts w:cs="TimesNewRomanPSMT"/>
                <w:sz w:val="24"/>
                <w:szCs w:val="24"/>
              </w:rPr>
              <w:t>GB12801</w:t>
            </w:r>
            <w:r>
              <w:rPr>
                <w:rFonts w:hint="eastAsia" w:cs="宋体"/>
                <w:sz w:val="24"/>
                <w:szCs w:val="24"/>
              </w:rPr>
              <w:t>的有关规定。</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3</w:t>
            </w:r>
            <w:r>
              <w:rPr>
                <w:rFonts w:hint="eastAsia" w:cs="宋体"/>
                <w:sz w:val="24"/>
                <w:szCs w:val="24"/>
              </w:rPr>
              <w:t>）运输管理应符合现行国家标准《工业企业厂内运输安全规程》</w:t>
            </w:r>
            <w:r>
              <w:rPr>
                <w:rFonts w:cs="TimesNewRomanPSMT"/>
                <w:sz w:val="24"/>
                <w:szCs w:val="24"/>
              </w:rPr>
              <w:t xml:space="preserve">GB4387 </w:t>
            </w:r>
            <w:r>
              <w:rPr>
                <w:rFonts w:hint="eastAsia" w:cs="宋体"/>
                <w:sz w:val="24"/>
                <w:szCs w:val="24"/>
              </w:rPr>
              <w:t>的有关规定，转运车辆应保持完好。</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4</w:t>
            </w:r>
            <w:r>
              <w:rPr>
                <w:rFonts w:hint="eastAsia" w:cs="宋体"/>
                <w:sz w:val="24"/>
                <w:szCs w:val="24"/>
              </w:rPr>
              <w:t>）转运站操作人员必须穿戴必要的劳保用品，做好安全防范工作；夜间作业现场应穿反光背心。</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5</w:t>
            </w:r>
            <w:r>
              <w:rPr>
                <w:rFonts w:hint="eastAsia" w:cs="宋体"/>
                <w:sz w:val="24"/>
                <w:szCs w:val="24"/>
              </w:rPr>
              <w:t>）生产作业区严禁吸烟，严禁酒后作业。</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6</w:t>
            </w:r>
            <w:r>
              <w:rPr>
                <w:rFonts w:hint="eastAsia" w:cs="宋体"/>
                <w:sz w:val="24"/>
                <w:szCs w:val="24"/>
              </w:rPr>
              <w:t>）皮带传动、链传动、联轴器等传动部件必须有机罩，不得裸露运转。</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7</w:t>
            </w:r>
            <w:r>
              <w:rPr>
                <w:rFonts w:hint="eastAsia" w:cs="宋体"/>
                <w:sz w:val="24"/>
                <w:szCs w:val="24"/>
              </w:rPr>
              <w:t>）电气设备的操作与检修应严格执行电工安全的有关规定。</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8</w:t>
            </w:r>
            <w:r>
              <w:rPr>
                <w:rFonts w:hint="eastAsia" w:cs="宋体"/>
                <w:sz w:val="24"/>
                <w:szCs w:val="24"/>
              </w:rPr>
              <w:t>）维修机械设备时，不得随意搭接临时动力线。</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9</w:t>
            </w:r>
            <w:r>
              <w:rPr>
                <w:rFonts w:hint="eastAsia" w:cs="宋体"/>
                <w:sz w:val="24"/>
                <w:szCs w:val="24"/>
              </w:rPr>
              <w:t>）机械设备的使用、维修必须由受过专业训练的人员进行，严禁非专业人员操作、使用相关设备。</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10</w:t>
            </w:r>
            <w:r>
              <w:rPr>
                <w:rFonts w:hint="eastAsia" w:cs="宋体"/>
                <w:sz w:val="24"/>
                <w:szCs w:val="24"/>
              </w:rPr>
              <w:t>）操作人员应严格遵守机械设备安全操作规程，对违章指挥，有权拒绝操作。</w:t>
            </w:r>
          </w:p>
          <w:p>
            <w:pPr>
              <w:spacing w:line="360" w:lineRule="auto"/>
              <w:ind w:firstLine="480" w:firstLineChars="200"/>
              <w:rPr>
                <w:rFonts w:cs="宋体"/>
                <w:sz w:val="24"/>
                <w:szCs w:val="24"/>
              </w:rPr>
            </w:pPr>
            <w:r>
              <w:rPr>
                <w:rFonts w:cs="TimesNewRomanPSMT"/>
                <w:sz w:val="24"/>
                <w:szCs w:val="24"/>
              </w:rPr>
              <w:t>11</w:t>
            </w:r>
            <w:r>
              <w:rPr>
                <w:rFonts w:hint="eastAsia" w:cs="宋体"/>
                <w:sz w:val="24"/>
                <w:szCs w:val="24"/>
              </w:rPr>
              <w:t>）作业区必须按照现行国家标准《建筑设计防火规范》</w:t>
            </w:r>
            <w:r>
              <w:rPr>
                <w:rFonts w:cs="TimesNewRomanPSMT"/>
                <w:sz w:val="24"/>
                <w:szCs w:val="24"/>
              </w:rPr>
              <w:t>GBJ16</w:t>
            </w:r>
            <w:r>
              <w:rPr>
                <w:rFonts w:hint="eastAsia" w:cs="宋体"/>
                <w:sz w:val="24"/>
                <w:szCs w:val="24"/>
              </w:rPr>
              <w:t>、《建筑灭火器配置设计规范》</w:t>
            </w:r>
            <w:r>
              <w:rPr>
                <w:rFonts w:cs="TimesNewRomanPSMT"/>
                <w:sz w:val="24"/>
                <w:szCs w:val="24"/>
              </w:rPr>
              <w:t xml:space="preserve">GB 50140 </w:t>
            </w:r>
            <w:r>
              <w:rPr>
                <w:rFonts w:hint="eastAsia" w:cs="宋体"/>
                <w:sz w:val="24"/>
                <w:szCs w:val="24"/>
              </w:rPr>
              <w:t>的规定配备消防器材，并应保持完好。</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12</w:t>
            </w:r>
            <w:r>
              <w:rPr>
                <w:rFonts w:hint="eastAsia" w:cs="宋体"/>
                <w:sz w:val="24"/>
                <w:szCs w:val="24"/>
              </w:rPr>
              <w:t>）转运站应制定防火、防爆、防洪、防风、防滑、防疫等方面的应急预案和措施。</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13</w:t>
            </w:r>
            <w:r>
              <w:rPr>
                <w:rFonts w:hint="eastAsia" w:cs="宋体"/>
                <w:sz w:val="24"/>
                <w:szCs w:val="24"/>
              </w:rPr>
              <w:t>）严禁带火种车辆进入作业区，战区内应设置明显防火标志。</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14</w:t>
            </w:r>
            <w:r>
              <w:rPr>
                <w:rFonts w:hint="eastAsia" w:cs="宋体"/>
                <w:sz w:val="24"/>
                <w:szCs w:val="24"/>
              </w:rPr>
              <w:t>）在事故易发地点应设置醒目标志，并应符合国家现行标准的有关规定。</w:t>
            </w:r>
          </w:p>
          <w:p>
            <w:pPr>
              <w:spacing w:line="360" w:lineRule="auto"/>
              <w:ind w:firstLine="480" w:firstLineChars="200"/>
              <w:rPr>
                <w:rFonts w:cs="宋体"/>
                <w:sz w:val="24"/>
                <w:szCs w:val="24"/>
              </w:rPr>
            </w:pPr>
            <w:r>
              <w:rPr>
                <w:rFonts w:cs="TimesNewRomanPSMT"/>
                <w:sz w:val="24"/>
                <w:szCs w:val="24"/>
              </w:rPr>
              <w:t>15</w:t>
            </w:r>
            <w:r>
              <w:rPr>
                <w:rFonts w:hint="eastAsia" w:cs="宋体"/>
                <w:sz w:val="24"/>
                <w:szCs w:val="24"/>
              </w:rPr>
              <w:t>）转运站内应配备必要的防护救生用品和药品，存放位置应有明显标志。</w:t>
            </w:r>
          </w:p>
          <w:p>
            <w:pPr>
              <w:autoSpaceDE w:val="0"/>
              <w:autoSpaceDN w:val="0"/>
              <w:spacing w:line="360" w:lineRule="auto"/>
              <w:ind w:firstLine="480" w:firstLineChars="200"/>
              <w:jc w:val="left"/>
              <w:textAlignment w:val="auto"/>
              <w:rPr>
                <w:rFonts w:cs="宋体"/>
                <w:sz w:val="24"/>
                <w:szCs w:val="24"/>
              </w:rPr>
            </w:pPr>
            <w:r>
              <w:rPr>
                <w:rFonts w:hint="eastAsia" w:cs="宋体"/>
                <w:sz w:val="24"/>
                <w:szCs w:val="24"/>
              </w:rPr>
              <w:t>（</w:t>
            </w:r>
            <w:r>
              <w:rPr>
                <w:rFonts w:cs="TimesNewRomanPSMT"/>
                <w:sz w:val="24"/>
                <w:szCs w:val="24"/>
              </w:rPr>
              <w:t>2</w:t>
            </w:r>
            <w:r>
              <w:rPr>
                <w:rFonts w:hint="eastAsia" w:cs="宋体"/>
                <w:sz w:val="24"/>
                <w:szCs w:val="24"/>
              </w:rPr>
              <w:t>）计量</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1</w:t>
            </w:r>
            <w:r>
              <w:rPr>
                <w:rFonts w:hint="eastAsia" w:cs="宋体"/>
                <w:sz w:val="24"/>
                <w:szCs w:val="24"/>
              </w:rPr>
              <w:t>）地磅前后应设置醒目具有反光效果的提示标志，并应保持完好。</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2</w:t>
            </w:r>
            <w:r>
              <w:rPr>
                <w:rFonts w:hint="eastAsia" w:cs="宋体"/>
                <w:sz w:val="24"/>
                <w:szCs w:val="24"/>
              </w:rPr>
              <w:t>）在地磅前方设置的简述装置应保持完好。</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3</w:t>
            </w:r>
            <w:r>
              <w:rPr>
                <w:rFonts w:hint="eastAsia" w:cs="宋体"/>
                <w:sz w:val="24"/>
                <w:szCs w:val="24"/>
              </w:rPr>
              <w:t>）地磅照明设施应保持完好。</w:t>
            </w:r>
          </w:p>
          <w:p>
            <w:pPr>
              <w:autoSpaceDE w:val="0"/>
              <w:autoSpaceDN w:val="0"/>
              <w:spacing w:line="360" w:lineRule="auto"/>
              <w:ind w:firstLine="480" w:firstLineChars="200"/>
              <w:jc w:val="left"/>
              <w:textAlignment w:val="auto"/>
              <w:rPr>
                <w:rFonts w:cs="宋体"/>
                <w:sz w:val="24"/>
                <w:szCs w:val="24"/>
              </w:rPr>
            </w:pPr>
            <w:r>
              <w:rPr>
                <w:rFonts w:hint="eastAsia" w:cs="宋体"/>
                <w:sz w:val="24"/>
                <w:szCs w:val="24"/>
              </w:rPr>
              <w:t>（</w:t>
            </w:r>
            <w:r>
              <w:rPr>
                <w:rFonts w:cs="TimesNewRomanPSMT"/>
                <w:sz w:val="24"/>
                <w:szCs w:val="24"/>
              </w:rPr>
              <w:t>3</w:t>
            </w:r>
            <w:r>
              <w:rPr>
                <w:rFonts w:hint="eastAsia" w:cs="宋体"/>
                <w:sz w:val="24"/>
                <w:szCs w:val="24"/>
              </w:rPr>
              <w:t>）卸料</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1</w:t>
            </w:r>
            <w:r>
              <w:rPr>
                <w:rFonts w:hint="eastAsia" w:cs="宋体"/>
                <w:sz w:val="24"/>
                <w:szCs w:val="24"/>
              </w:rPr>
              <w:t>）卸料平台道路入口处必须设置减速标志。</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2</w:t>
            </w:r>
            <w:r>
              <w:rPr>
                <w:rFonts w:hint="eastAsia" w:cs="宋体"/>
                <w:sz w:val="24"/>
                <w:szCs w:val="24"/>
              </w:rPr>
              <w:t>）卸料时，无特殊情况，卸料平台上不得有无关人员停留。</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3</w:t>
            </w:r>
            <w:r>
              <w:rPr>
                <w:rFonts w:hint="eastAsia" w:cs="宋体"/>
                <w:sz w:val="24"/>
                <w:szCs w:val="24"/>
              </w:rPr>
              <w:t>）当卸料槽或专用容器辅助装置损坏时，不得进行卸料作业。</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4</w:t>
            </w:r>
            <w:r>
              <w:rPr>
                <w:rFonts w:hint="eastAsia" w:cs="宋体"/>
                <w:sz w:val="24"/>
                <w:szCs w:val="24"/>
              </w:rPr>
              <w:t>）卸料槽或专用容器入口堆满垃圾时，不得继续卸料。待垃圾被推入压缩箱或专用容器，入口处有空间方可卸料。</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5</w:t>
            </w:r>
            <w:r>
              <w:rPr>
                <w:rFonts w:hint="eastAsia" w:cs="宋体"/>
                <w:sz w:val="24"/>
                <w:szCs w:val="24"/>
              </w:rPr>
              <w:t>）卸料槽或专用容器中发现大件垃圾及危险废物时，应及时清理。</w:t>
            </w:r>
          </w:p>
          <w:p>
            <w:pPr>
              <w:autoSpaceDE w:val="0"/>
              <w:autoSpaceDN w:val="0"/>
              <w:spacing w:line="360" w:lineRule="auto"/>
              <w:ind w:firstLine="480" w:firstLineChars="200"/>
              <w:jc w:val="left"/>
              <w:textAlignment w:val="auto"/>
              <w:rPr>
                <w:rFonts w:cs="宋体"/>
                <w:sz w:val="24"/>
                <w:szCs w:val="24"/>
              </w:rPr>
            </w:pPr>
            <w:r>
              <w:rPr>
                <w:rFonts w:hint="eastAsia" w:cs="宋体"/>
                <w:sz w:val="24"/>
                <w:szCs w:val="24"/>
              </w:rPr>
              <w:t>（</w:t>
            </w:r>
            <w:r>
              <w:rPr>
                <w:rFonts w:cs="TimesNewRomanPSMT"/>
                <w:sz w:val="24"/>
                <w:szCs w:val="24"/>
              </w:rPr>
              <w:t>4</w:t>
            </w:r>
            <w:r>
              <w:rPr>
                <w:rFonts w:hint="eastAsia" w:cs="宋体"/>
                <w:sz w:val="24"/>
                <w:szCs w:val="24"/>
              </w:rPr>
              <w:t>）填装与压缩</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1</w:t>
            </w:r>
            <w:r>
              <w:rPr>
                <w:rFonts w:hint="eastAsia" w:cs="宋体"/>
                <w:sz w:val="24"/>
                <w:szCs w:val="24"/>
              </w:rPr>
              <w:t>）采用直接进料工艺的压缩机，在压缩垃圾时不得往压缩机料斗口进料。</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2</w:t>
            </w:r>
            <w:r>
              <w:rPr>
                <w:rFonts w:hint="eastAsia" w:cs="宋体"/>
                <w:sz w:val="24"/>
                <w:szCs w:val="24"/>
              </w:rPr>
              <w:t>）卸料时，压缩机对接与锁紧机构应保持完好。</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3</w:t>
            </w:r>
            <w:r>
              <w:rPr>
                <w:rFonts w:hint="eastAsia" w:cs="宋体"/>
                <w:sz w:val="24"/>
                <w:szCs w:val="24"/>
              </w:rPr>
              <w:t>）在填装作业时压缩机的推头或压头和滑动支架必须缩回到最末端时，才能进料。在填装或压缩作业时，工作人员不得靠近装运容器。</w:t>
            </w:r>
          </w:p>
          <w:p>
            <w:pPr>
              <w:autoSpaceDE w:val="0"/>
              <w:autoSpaceDN w:val="0"/>
              <w:spacing w:line="360" w:lineRule="auto"/>
              <w:ind w:firstLine="480" w:firstLineChars="200"/>
              <w:jc w:val="left"/>
              <w:textAlignment w:val="auto"/>
              <w:rPr>
                <w:rFonts w:cs="宋体"/>
                <w:sz w:val="24"/>
                <w:szCs w:val="24"/>
              </w:rPr>
            </w:pPr>
            <w:r>
              <w:rPr>
                <w:rFonts w:hint="eastAsia" w:cs="宋体"/>
                <w:sz w:val="24"/>
                <w:szCs w:val="24"/>
              </w:rPr>
              <w:t>（</w:t>
            </w:r>
            <w:r>
              <w:rPr>
                <w:rFonts w:cs="TimesNewRomanPSMT"/>
                <w:sz w:val="24"/>
                <w:szCs w:val="24"/>
              </w:rPr>
              <w:t>5</w:t>
            </w:r>
            <w:r>
              <w:rPr>
                <w:rFonts w:hint="eastAsia" w:cs="宋体"/>
                <w:sz w:val="24"/>
                <w:szCs w:val="24"/>
              </w:rPr>
              <w:t>）转运容器装卸</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1</w:t>
            </w:r>
            <w:r>
              <w:rPr>
                <w:rFonts w:hint="eastAsia" w:cs="宋体"/>
                <w:sz w:val="24"/>
                <w:szCs w:val="24"/>
              </w:rPr>
              <w:t>）转运容器在开启、装料和关闭过程中，容器后面严禁站人。</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2</w:t>
            </w:r>
            <w:r>
              <w:rPr>
                <w:rFonts w:hint="eastAsia" w:cs="宋体"/>
                <w:sz w:val="24"/>
                <w:szCs w:val="24"/>
              </w:rPr>
              <w:t>）转运容器出站时，应密闭完好。</w:t>
            </w:r>
          </w:p>
          <w:p>
            <w:pPr>
              <w:autoSpaceDE w:val="0"/>
              <w:autoSpaceDN w:val="0"/>
              <w:spacing w:line="360" w:lineRule="auto"/>
              <w:ind w:firstLine="480" w:firstLineChars="200"/>
              <w:jc w:val="left"/>
              <w:textAlignment w:val="auto"/>
              <w:rPr>
                <w:rFonts w:cs="宋体"/>
                <w:sz w:val="24"/>
                <w:szCs w:val="24"/>
              </w:rPr>
            </w:pPr>
            <w:r>
              <w:rPr>
                <w:rFonts w:hint="eastAsia" w:cs="宋体"/>
                <w:sz w:val="24"/>
                <w:szCs w:val="24"/>
              </w:rPr>
              <w:t>（</w:t>
            </w:r>
            <w:r>
              <w:rPr>
                <w:rFonts w:cs="TimesNewRomanPSMT"/>
                <w:sz w:val="24"/>
                <w:szCs w:val="24"/>
              </w:rPr>
              <w:t>6</w:t>
            </w:r>
            <w:r>
              <w:rPr>
                <w:rFonts w:hint="eastAsia" w:cs="宋体"/>
                <w:sz w:val="24"/>
                <w:szCs w:val="24"/>
              </w:rPr>
              <w:t>）污水收集</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1</w:t>
            </w:r>
            <w:r>
              <w:rPr>
                <w:rFonts w:hint="eastAsia" w:cs="宋体"/>
                <w:sz w:val="24"/>
                <w:szCs w:val="24"/>
              </w:rPr>
              <w:t>）渗沥液收集、贮存、运输过程中不得泄露。</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2</w:t>
            </w:r>
            <w:r>
              <w:rPr>
                <w:rFonts w:hint="eastAsia" w:cs="宋体"/>
                <w:sz w:val="24"/>
                <w:szCs w:val="24"/>
              </w:rPr>
              <w:t>）污水池检查入口处应锁定并悬挂有关的警示及安全告示牌，并应备有安全带、踏步、扶手、救生绳、挂钩、吊带等附件。</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3</w:t>
            </w:r>
            <w:r>
              <w:rPr>
                <w:rFonts w:hint="eastAsia" w:cs="宋体"/>
                <w:sz w:val="24"/>
                <w:szCs w:val="24"/>
              </w:rPr>
              <w:t>）对存在安全隐患的场所，应在采取有效防护措施后方可进入。</w:t>
            </w:r>
          </w:p>
          <w:p>
            <w:pPr>
              <w:autoSpaceDE w:val="0"/>
              <w:autoSpaceDN w:val="0"/>
              <w:spacing w:line="360" w:lineRule="auto"/>
              <w:ind w:firstLine="480" w:firstLineChars="200"/>
              <w:jc w:val="left"/>
              <w:textAlignment w:val="auto"/>
              <w:rPr>
                <w:rFonts w:cs="宋体"/>
                <w:sz w:val="24"/>
                <w:szCs w:val="24"/>
              </w:rPr>
            </w:pPr>
            <w:r>
              <w:rPr>
                <w:rFonts w:hint="eastAsia" w:cs="宋体"/>
                <w:sz w:val="24"/>
                <w:szCs w:val="24"/>
              </w:rPr>
              <w:t>（</w:t>
            </w:r>
            <w:r>
              <w:rPr>
                <w:rFonts w:cs="TimesNewRomanPSMT"/>
                <w:sz w:val="24"/>
                <w:szCs w:val="24"/>
              </w:rPr>
              <w:t>7</w:t>
            </w:r>
            <w:r>
              <w:rPr>
                <w:rFonts w:hint="eastAsia" w:cs="宋体"/>
                <w:sz w:val="24"/>
                <w:szCs w:val="24"/>
              </w:rPr>
              <w:t>）消杀作业</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1</w:t>
            </w:r>
            <w:r>
              <w:rPr>
                <w:rFonts w:hint="eastAsia" w:cs="宋体"/>
                <w:sz w:val="24"/>
                <w:szCs w:val="24"/>
              </w:rPr>
              <w:t>）灭蝇、灭鼠药物应按危险品规定管理。</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2</w:t>
            </w:r>
            <w:r>
              <w:rPr>
                <w:rFonts w:hint="eastAsia" w:cs="宋体"/>
                <w:sz w:val="24"/>
                <w:szCs w:val="24"/>
              </w:rPr>
              <w:t>）消杀人员必须穿戴安全防护用品后方可进行药物配制和喷洒作业。</w:t>
            </w:r>
          </w:p>
          <w:p>
            <w:pPr>
              <w:autoSpaceDE w:val="0"/>
              <w:autoSpaceDN w:val="0"/>
              <w:spacing w:line="360" w:lineRule="auto"/>
              <w:ind w:firstLine="480" w:firstLineChars="200"/>
              <w:jc w:val="left"/>
              <w:textAlignment w:val="auto"/>
              <w:rPr>
                <w:rFonts w:cs="宋体"/>
                <w:sz w:val="24"/>
                <w:szCs w:val="24"/>
              </w:rPr>
            </w:pPr>
            <w:r>
              <w:rPr>
                <w:rFonts w:cs="TimesNewRomanPSMT"/>
                <w:sz w:val="24"/>
                <w:szCs w:val="24"/>
              </w:rPr>
              <w:t>3</w:t>
            </w:r>
            <w:r>
              <w:rPr>
                <w:rFonts w:hint="eastAsia" w:cs="宋体"/>
                <w:sz w:val="24"/>
                <w:szCs w:val="24"/>
              </w:rPr>
              <w:t>）消杀人员应严格按照药物喷洒操作规程作业。</w:t>
            </w:r>
          </w:p>
          <w:p>
            <w:pPr>
              <w:pStyle w:val="12"/>
              <w:spacing w:line="360" w:lineRule="auto"/>
              <w:ind w:left="0"/>
              <w:rPr>
                <w:b/>
                <w:bCs w:val="0"/>
                <w:kern w:val="0"/>
                <w:sz w:val="24"/>
                <w:szCs w:val="24"/>
              </w:rPr>
            </w:pPr>
            <w:r>
              <w:rPr>
                <w:rFonts w:hint="eastAsia"/>
                <w:b/>
                <w:bCs w:val="0"/>
                <w:kern w:val="0"/>
                <w:sz w:val="24"/>
                <w:szCs w:val="24"/>
              </w:rPr>
              <w:t>（七）清洁</w:t>
            </w:r>
            <w:r>
              <w:rPr>
                <w:b/>
                <w:bCs w:val="0"/>
                <w:kern w:val="0"/>
                <w:sz w:val="24"/>
                <w:szCs w:val="24"/>
              </w:rPr>
              <w:t>生产</w:t>
            </w:r>
          </w:p>
          <w:p>
            <w:pPr>
              <w:spacing w:line="360" w:lineRule="auto"/>
              <w:ind w:firstLine="480" w:firstLineChars="200"/>
              <w:rPr>
                <w:kern w:val="2"/>
                <w:sz w:val="24"/>
                <w:szCs w:val="24"/>
              </w:rPr>
            </w:pPr>
            <w:r>
              <w:rPr>
                <w:rFonts w:hint="eastAsia"/>
                <w:kern w:val="2"/>
                <w:sz w:val="24"/>
                <w:szCs w:val="24"/>
              </w:rPr>
              <w:t>清洁生产要求企业采用先进的生产工艺，提高生产管理水平及环境管理水平，把环境保护的着眼点从末端治理转移到生产工艺的全过程，采取工艺过程控制与末端治理相结合的污染防治措施。</w:t>
            </w:r>
          </w:p>
          <w:p>
            <w:pPr>
              <w:autoSpaceDE w:val="0"/>
              <w:autoSpaceDN w:val="0"/>
              <w:spacing w:line="360" w:lineRule="auto"/>
              <w:ind w:firstLine="482" w:firstLineChars="200"/>
              <w:jc w:val="left"/>
              <w:textAlignment w:val="auto"/>
              <w:rPr>
                <w:rFonts w:cs="宋体"/>
                <w:b/>
                <w:sz w:val="24"/>
                <w:szCs w:val="24"/>
              </w:rPr>
            </w:pPr>
            <w:r>
              <w:rPr>
                <w:rFonts w:hint="eastAsia" w:cs="宋体"/>
                <w:b/>
                <w:sz w:val="24"/>
                <w:szCs w:val="24"/>
              </w:rPr>
              <w:t>（1）能源、原辅料及工艺分析</w:t>
            </w:r>
          </w:p>
          <w:p>
            <w:pPr>
              <w:autoSpaceDE w:val="0"/>
              <w:autoSpaceDN w:val="0"/>
              <w:spacing w:line="360" w:lineRule="auto"/>
              <w:ind w:firstLine="480" w:firstLineChars="200"/>
              <w:jc w:val="left"/>
              <w:textAlignment w:val="auto"/>
              <w:rPr>
                <w:rFonts w:cs="宋体"/>
                <w:sz w:val="24"/>
                <w:szCs w:val="24"/>
              </w:rPr>
            </w:pPr>
            <w:r>
              <w:rPr>
                <w:rFonts w:hint="eastAsia" w:cs="宋体"/>
                <w:sz w:val="24"/>
                <w:szCs w:val="24"/>
              </w:rPr>
              <w:t>项目采用的主要原辅料为生物除臭剂，使用的原辅材料没有国家明令禁止使用的，均符合国家相关环保要求。项目不设锅炉，能源使用罐装天然气，属于清洁能源。符合《中华人民共和国大气污染防治法》中第二十六条的规定。</w:t>
            </w:r>
          </w:p>
          <w:p>
            <w:pPr>
              <w:autoSpaceDE w:val="0"/>
              <w:autoSpaceDN w:val="0"/>
              <w:spacing w:line="360" w:lineRule="auto"/>
              <w:ind w:firstLine="480" w:firstLineChars="200"/>
              <w:jc w:val="left"/>
              <w:textAlignment w:val="auto"/>
              <w:rPr>
                <w:rFonts w:cs="宋体"/>
                <w:sz w:val="24"/>
                <w:szCs w:val="24"/>
              </w:rPr>
            </w:pPr>
            <w:r>
              <w:rPr>
                <w:rFonts w:hint="eastAsia" w:cs="宋体"/>
                <w:sz w:val="24"/>
                <w:szCs w:val="24"/>
              </w:rPr>
              <w:t>生产工艺路线和设备的先进性项目的生产过程为生活垃圾称重计量、压缩转运，设备多为数控设备，具有一定的先进性。本项目选用水平设备工艺，固体废弃物在站内逗留时间段，集装箱收集处不易造成二次污染；渗滤液可实现密封排放，不易向外界散发气味；作业时的异味易于控制。</w:t>
            </w:r>
          </w:p>
          <w:p>
            <w:pPr>
              <w:autoSpaceDE w:val="0"/>
              <w:autoSpaceDN w:val="0"/>
              <w:spacing w:line="360" w:lineRule="auto"/>
              <w:ind w:firstLine="480" w:firstLineChars="200"/>
              <w:jc w:val="left"/>
              <w:textAlignment w:val="auto"/>
              <w:rPr>
                <w:rFonts w:cs="宋体"/>
                <w:sz w:val="24"/>
                <w:szCs w:val="24"/>
              </w:rPr>
            </w:pPr>
            <w:r>
              <w:rPr>
                <w:rFonts w:hint="eastAsia" w:cs="宋体"/>
                <w:sz w:val="24"/>
                <w:szCs w:val="24"/>
              </w:rPr>
              <w:t>综上，本项目采用的能源、原辅料符合清洁生产的要求，产工艺路线和设备较先进。</w:t>
            </w:r>
          </w:p>
          <w:p>
            <w:pPr>
              <w:autoSpaceDE w:val="0"/>
              <w:autoSpaceDN w:val="0"/>
              <w:spacing w:line="360" w:lineRule="auto"/>
              <w:ind w:firstLine="482" w:firstLineChars="200"/>
              <w:jc w:val="left"/>
              <w:textAlignment w:val="auto"/>
              <w:rPr>
                <w:rFonts w:cs="宋体"/>
                <w:b/>
                <w:sz w:val="24"/>
                <w:szCs w:val="24"/>
              </w:rPr>
            </w:pPr>
            <w:r>
              <w:rPr>
                <w:rFonts w:hint="eastAsia" w:cs="宋体"/>
                <w:b/>
                <w:sz w:val="24"/>
                <w:szCs w:val="24"/>
              </w:rPr>
              <w:t>（2）污染控制分析</w:t>
            </w:r>
          </w:p>
          <w:p>
            <w:pPr>
              <w:autoSpaceDE w:val="0"/>
              <w:autoSpaceDN w:val="0"/>
              <w:spacing w:line="360" w:lineRule="auto"/>
              <w:ind w:firstLine="480" w:firstLineChars="200"/>
              <w:jc w:val="left"/>
              <w:textAlignment w:val="auto"/>
              <w:rPr>
                <w:rFonts w:cs="宋体"/>
                <w:sz w:val="24"/>
                <w:szCs w:val="24"/>
              </w:rPr>
            </w:pPr>
            <w:r>
              <w:rPr>
                <w:rFonts w:hint="eastAsia" w:cs="宋体"/>
                <w:sz w:val="24"/>
                <w:szCs w:val="24"/>
              </w:rPr>
              <w:t>本项目生产过程产生的废气、废水、废渣和噪声都能得到积极的预防和有效的治理，确保达标排放，各种污染物的排放浓度都低于允许排放标准指标，尽可能多的削减污染物的排放量。</w:t>
            </w:r>
          </w:p>
          <w:p>
            <w:pPr>
              <w:autoSpaceDE w:val="0"/>
              <w:autoSpaceDN w:val="0"/>
              <w:spacing w:line="360" w:lineRule="auto"/>
              <w:ind w:firstLine="480" w:firstLineChars="200"/>
              <w:jc w:val="left"/>
              <w:textAlignment w:val="auto"/>
              <w:rPr>
                <w:rFonts w:cs="宋体"/>
                <w:sz w:val="24"/>
                <w:szCs w:val="24"/>
              </w:rPr>
            </w:pPr>
            <w:r>
              <w:rPr>
                <w:rFonts w:hint="eastAsia" w:cs="宋体"/>
                <w:sz w:val="24"/>
                <w:szCs w:val="24"/>
              </w:rPr>
              <w:t>废气：项目使用</w:t>
            </w:r>
            <w:r>
              <w:rPr>
                <w:rFonts w:hint="eastAsia"/>
                <w:sz w:val="24"/>
                <w:szCs w:val="24"/>
              </w:rPr>
              <w:t>负压抽风净化、</w:t>
            </w:r>
            <w:r>
              <w:rPr>
                <w:rFonts w:hint="eastAsia" w:cs="宋体"/>
                <w:sz w:val="24"/>
                <w:szCs w:val="24"/>
              </w:rPr>
              <w:t>雾化喷淋、生物试剂除臭系统的废气处理工艺，该工艺已经成功应用于异味气体处理，被认为是环境污染物处理领域中最有广适性、最有发展前途的高新技术之一，能够有效地治理垃圾站臭气。</w:t>
            </w:r>
          </w:p>
          <w:p>
            <w:pPr>
              <w:autoSpaceDE w:val="0"/>
              <w:autoSpaceDN w:val="0"/>
              <w:spacing w:line="360" w:lineRule="auto"/>
              <w:ind w:firstLine="480" w:firstLineChars="200"/>
              <w:jc w:val="left"/>
              <w:textAlignment w:val="auto"/>
              <w:rPr>
                <w:rFonts w:cs="宋体"/>
                <w:sz w:val="24"/>
                <w:szCs w:val="24"/>
              </w:rPr>
            </w:pPr>
            <w:r>
              <w:rPr>
                <w:rFonts w:hint="eastAsia" w:cs="宋体"/>
                <w:sz w:val="24"/>
                <w:szCs w:val="24"/>
              </w:rPr>
              <w:t>废水：项目垃圾渗滤液、冲洗废水、生产污水及生活污水均委托鹰手营子矿区垃圾填埋厂渗滤液处理站处理。</w:t>
            </w:r>
          </w:p>
          <w:p>
            <w:pPr>
              <w:autoSpaceDE w:val="0"/>
              <w:autoSpaceDN w:val="0"/>
              <w:spacing w:line="360" w:lineRule="auto"/>
              <w:ind w:firstLine="480" w:firstLineChars="200"/>
              <w:jc w:val="left"/>
              <w:textAlignment w:val="auto"/>
              <w:rPr>
                <w:rFonts w:cs="宋体"/>
                <w:sz w:val="24"/>
                <w:szCs w:val="24"/>
              </w:rPr>
            </w:pPr>
            <w:r>
              <w:rPr>
                <w:rFonts w:hint="eastAsia" w:cs="宋体"/>
                <w:sz w:val="24"/>
                <w:szCs w:val="24"/>
              </w:rPr>
              <w:t>固废：项目产生的固废主要为生活垃圾及污水收集池污泥。生活垃圾由转运站压缩处理；污水收集池污泥委托资质单位处理，妥善处置。</w:t>
            </w:r>
          </w:p>
          <w:p>
            <w:pPr>
              <w:autoSpaceDE w:val="0"/>
              <w:autoSpaceDN w:val="0"/>
              <w:spacing w:line="360" w:lineRule="auto"/>
              <w:ind w:firstLine="480" w:firstLineChars="200"/>
              <w:jc w:val="left"/>
              <w:textAlignment w:val="auto"/>
              <w:rPr>
                <w:rFonts w:cs="宋体"/>
                <w:sz w:val="24"/>
                <w:szCs w:val="24"/>
              </w:rPr>
            </w:pPr>
            <w:r>
              <w:rPr>
                <w:rFonts w:hint="eastAsia" w:cs="宋体"/>
                <w:sz w:val="24"/>
                <w:szCs w:val="24"/>
              </w:rPr>
              <w:t>噪声：项目选用低噪声设备及车辆，在源头削减噪声，且转运站为封闭式作业，设备合理布局经车间隔声、消声及距离衰减，厂界噪声可达标。</w:t>
            </w:r>
          </w:p>
          <w:p>
            <w:pPr>
              <w:pStyle w:val="12"/>
              <w:spacing w:line="360" w:lineRule="auto"/>
              <w:ind w:left="0"/>
              <w:rPr>
                <w:b/>
                <w:bCs w:val="0"/>
                <w:kern w:val="0"/>
                <w:sz w:val="24"/>
                <w:szCs w:val="24"/>
              </w:rPr>
            </w:pPr>
            <w:r>
              <w:rPr>
                <w:rFonts w:hint="eastAsia"/>
                <w:b/>
                <w:bCs w:val="0"/>
                <w:kern w:val="0"/>
                <w:sz w:val="24"/>
                <w:szCs w:val="24"/>
              </w:rPr>
              <w:t>（八）环境风险分析</w:t>
            </w:r>
          </w:p>
          <w:p>
            <w:pPr>
              <w:pStyle w:val="105"/>
              <w:spacing w:line="360" w:lineRule="auto"/>
              <w:ind w:firstLine="480" w:firstLineChars="200"/>
              <w:rPr>
                <w:rFonts w:ascii="Times New Roman"/>
                <w:color w:val="auto"/>
              </w:rPr>
            </w:pPr>
            <w:r>
              <w:rPr>
                <w:rFonts w:hint="eastAsia" w:ascii="Times New Roman"/>
                <w:color w:val="auto"/>
              </w:rPr>
              <w:t>根据《建设项目环境风险评价技术导则》（</w:t>
            </w:r>
            <w:r>
              <w:rPr>
                <w:rFonts w:ascii="Times New Roman" w:cs="Times New Roman"/>
                <w:color w:val="auto"/>
              </w:rPr>
              <w:t>HJ/T169-2018</w:t>
            </w:r>
            <w:r>
              <w:rPr>
                <w:rFonts w:hint="eastAsia" w:ascii="Times New Roman"/>
                <w:color w:val="auto"/>
              </w:rPr>
              <w:t>）要求和项目的具体特点，通过对项目运营期间可能发生的事故进行环境风险分析，识别其潜在的环境风险，加强环境保护管理，将危险性事故对环境的影响减少到最低限度，以达到降低风险至可接受的级别、减轻危害程度和保护环境的目的。</w:t>
            </w:r>
          </w:p>
          <w:p>
            <w:pPr>
              <w:pStyle w:val="105"/>
              <w:spacing w:line="360" w:lineRule="auto"/>
              <w:ind w:firstLine="482" w:firstLineChars="200"/>
              <w:rPr>
                <w:rFonts w:ascii="Times New Roman"/>
                <w:b/>
                <w:color w:val="auto"/>
              </w:rPr>
            </w:pPr>
            <w:r>
              <w:rPr>
                <w:rFonts w:ascii="Times New Roman" w:cs="Times New Roman"/>
                <w:b/>
                <w:bCs/>
                <w:color w:val="auto"/>
              </w:rPr>
              <w:t>1</w:t>
            </w:r>
            <w:r>
              <w:rPr>
                <w:rFonts w:hint="eastAsia" w:ascii="Times New Roman"/>
                <w:b/>
                <w:color w:val="auto"/>
              </w:rPr>
              <w:t>、环境风险评价等级判断</w:t>
            </w:r>
            <w:r>
              <w:rPr>
                <w:rFonts w:ascii="Times New Roman"/>
                <w:b/>
                <w:color w:val="auto"/>
              </w:rPr>
              <w:t xml:space="preserve"> </w:t>
            </w:r>
          </w:p>
          <w:p>
            <w:pPr>
              <w:pStyle w:val="105"/>
              <w:spacing w:line="360" w:lineRule="auto"/>
              <w:ind w:firstLine="480" w:firstLineChars="200"/>
              <w:rPr>
                <w:rFonts w:ascii="Times New Roman"/>
                <w:color w:val="auto"/>
              </w:rPr>
            </w:pPr>
            <w:r>
              <w:rPr>
                <w:rFonts w:hint="eastAsia" w:ascii="Times New Roman"/>
                <w:color w:val="auto"/>
              </w:rPr>
              <w:t>本项目产品属于</w:t>
            </w:r>
            <w:r>
              <w:rPr>
                <w:rFonts w:ascii="Times New Roman" w:cs="Times New Roman"/>
                <w:color w:val="auto"/>
              </w:rPr>
              <w:t>N7820</w:t>
            </w:r>
            <w:r>
              <w:rPr>
                <w:rFonts w:hint="eastAsia" w:ascii="Times New Roman"/>
                <w:color w:val="auto"/>
              </w:rPr>
              <w:t>环境卫生管理，无危险化学品原料的使用；根据《建设项目环境风险评价技术导则》（</w:t>
            </w:r>
            <w:r>
              <w:rPr>
                <w:rFonts w:ascii="Times New Roman" w:cs="Times New Roman"/>
                <w:color w:val="auto"/>
              </w:rPr>
              <w:t>HJ/T169-2018</w:t>
            </w:r>
            <w:r>
              <w:rPr>
                <w:rFonts w:hint="eastAsia" w:ascii="Times New Roman"/>
                <w:color w:val="auto"/>
              </w:rPr>
              <w:t>）附录</w:t>
            </w:r>
            <w:r>
              <w:rPr>
                <w:rFonts w:ascii="Times New Roman" w:cs="Times New Roman"/>
                <w:color w:val="auto"/>
              </w:rPr>
              <w:t>B</w:t>
            </w:r>
            <w:r>
              <w:rPr>
                <w:rFonts w:hint="eastAsia" w:ascii="Times New Roman"/>
                <w:color w:val="auto"/>
              </w:rPr>
              <w:t>，本项目原辅材料和产品均不属于其中所列的有毒、易燃、爆炸性等危险化学品，故本项目不构成重大危险源，目环境风险潜势为</w:t>
            </w:r>
            <w:r>
              <w:rPr>
                <w:rFonts w:ascii="Times New Roman" w:cs="Times New Roman"/>
                <w:color w:val="auto"/>
              </w:rPr>
              <w:t>Ⅰ</w:t>
            </w:r>
            <w:r>
              <w:rPr>
                <w:rFonts w:hint="eastAsia" w:ascii="Times New Roman"/>
                <w:color w:val="auto"/>
              </w:rPr>
              <w:t>，无评价工作等级划分，进行简单分析即可。</w:t>
            </w:r>
            <w:r>
              <w:rPr>
                <w:rFonts w:ascii="Times New Roman"/>
                <w:color w:val="auto"/>
              </w:rPr>
              <w:t xml:space="preserve"> </w:t>
            </w:r>
          </w:p>
          <w:p>
            <w:pPr>
              <w:pStyle w:val="105"/>
              <w:spacing w:line="360" w:lineRule="auto"/>
              <w:ind w:firstLine="482" w:firstLineChars="200"/>
              <w:rPr>
                <w:rFonts w:ascii="Times New Roman"/>
                <w:b/>
                <w:color w:val="auto"/>
              </w:rPr>
            </w:pPr>
            <w:r>
              <w:rPr>
                <w:rFonts w:ascii="Times New Roman" w:cs="Times New Roman"/>
                <w:b/>
                <w:bCs/>
                <w:color w:val="auto"/>
              </w:rPr>
              <w:t>2</w:t>
            </w:r>
            <w:r>
              <w:rPr>
                <w:rFonts w:hint="eastAsia" w:ascii="Times New Roman"/>
                <w:b/>
                <w:color w:val="auto"/>
              </w:rPr>
              <w:t>、环境敏感目标调查</w:t>
            </w:r>
            <w:r>
              <w:rPr>
                <w:rFonts w:ascii="Times New Roman"/>
                <w:b/>
                <w:color w:val="auto"/>
              </w:rPr>
              <w:t xml:space="preserve"> </w:t>
            </w:r>
          </w:p>
          <w:p>
            <w:pPr>
              <w:pStyle w:val="105"/>
              <w:spacing w:line="360" w:lineRule="auto"/>
              <w:ind w:firstLine="480" w:firstLineChars="200"/>
              <w:rPr>
                <w:rFonts w:ascii="Times New Roman"/>
                <w:color w:val="auto"/>
              </w:rPr>
            </w:pPr>
            <w:r>
              <w:rPr>
                <w:rFonts w:hint="eastAsia" w:ascii="Times New Roman"/>
                <w:color w:val="auto"/>
              </w:rPr>
              <w:t>项目涉及环境敏感目标见表</w:t>
            </w:r>
            <w:r>
              <w:rPr>
                <w:rFonts w:ascii="Times New Roman" w:cs="Times New Roman"/>
                <w:color w:val="auto"/>
              </w:rPr>
              <w:t>13</w:t>
            </w:r>
            <w:r>
              <w:rPr>
                <w:rFonts w:hint="eastAsia" w:ascii="Times New Roman" w:cs="Times New Roman"/>
                <w:color w:val="auto"/>
              </w:rPr>
              <w:t>及表1</w:t>
            </w:r>
            <w:r>
              <w:rPr>
                <w:rFonts w:ascii="Times New Roman" w:cs="Times New Roman"/>
                <w:color w:val="auto"/>
              </w:rPr>
              <w:t>4</w:t>
            </w:r>
            <w:r>
              <w:rPr>
                <w:rFonts w:hint="eastAsia" w:ascii="Times New Roman"/>
                <w:color w:val="auto"/>
              </w:rPr>
              <w:t>。</w:t>
            </w:r>
            <w:r>
              <w:rPr>
                <w:rFonts w:ascii="Times New Roman"/>
                <w:color w:val="auto"/>
              </w:rPr>
              <w:t xml:space="preserve"> </w:t>
            </w:r>
          </w:p>
          <w:p>
            <w:pPr>
              <w:pStyle w:val="105"/>
              <w:spacing w:line="360" w:lineRule="auto"/>
              <w:ind w:firstLine="482" w:firstLineChars="200"/>
              <w:rPr>
                <w:rFonts w:ascii="Times New Roman"/>
                <w:b/>
                <w:color w:val="auto"/>
              </w:rPr>
            </w:pPr>
            <w:r>
              <w:rPr>
                <w:rFonts w:ascii="Times New Roman" w:cs="Times New Roman"/>
                <w:b/>
                <w:bCs/>
                <w:color w:val="auto"/>
              </w:rPr>
              <w:t>3</w:t>
            </w:r>
            <w:r>
              <w:rPr>
                <w:rFonts w:hint="eastAsia" w:ascii="Times New Roman"/>
                <w:b/>
                <w:color w:val="auto"/>
              </w:rPr>
              <w:t>、风险识别及环境风险分析</w:t>
            </w:r>
            <w:r>
              <w:rPr>
                <w:rFonts w:ascii="Times New Roman"/>
                <w:b/>
                <w:color w:val="auto"/>
              </w:rPr>
              <w:t xml:space="preserve"> </w:t>
            </w:r>
          </w:p>
          <w:p>
            <w:pPr>
              <w:spacing w:line="360" w:lineRule="auto"/>
              <w:ind w:firstLine="480" w:firstLineChars="200"/>
              <w:outlineLvl w:val="0"/>
              <w:rPr>
                <w:sz w:val="24"/>
                <w:szCs w:val="24"/>
              </w:rPr>
            </w:pPr>
            <w:r>
              <w:rPr>
                <w:rFonts w:hint="eastAsia"/>
                <w:sz w:val="24"/>
                <w:szCs w:val="24"/>
              </w:rPr>
              <w:t>项目可能出现的环境风险主要为不注意用电安全引起的短路，进而引发火灾。项目管理规范、内部主要是压缩设备及生活垃圾，尽管发生火灾也较容易控制，不会造成严重的财产损失及人员伤亡。并且通过类比同类行业，本项目发生火灾风险事故的年发生概率远小于交通事故发生的概率，因此，如果防范措施得当，对事故的预先判断准确及时，并采取正确的方法应对，则风险事故对周围大气环境的影响将大大降低。</w:t>
            </w:r>
            <w:r>
              <w:rPr>
                <w:sz w:val="24"/>
                <w:szCs w:val="24"/>
              </w:rPr>
              <w:t xml:space="preserve"> </w:t>
            </w:r>
          </w:p>
          <w:p>
            <w:pPr>
              <w:pStyle w:val="105"/>
              <w:spacing w:line="360" w:lineRule="auto"/>
              <w:ind w:firstLine="482" w:firstLineChars="200"/>
              <w:rPr>
                <w:rFonts w:ascii="Times New Roman" w:cs="Times New Roman"/>
                <w:b/>
                <w:bCs/>
                <w:color w:val="auto"/>
              </w:rPr>
            </w:pPr>
            <w:r>
              <w:rPr>
                <w:rFonts w:ascii="Times New Roman" w:cs="Times New Roman"/>
                <w:b/>
                <w:bCs/>
                <w:color w:val="auto"/>
              </w:rPr>
              <w:t>4</w:t>
            </w:r>
            <w:r>
              <w:rPr>
                <w:rFonts w:hint="eastAsia" w:ascii="Times New Roman" w:cs="Times New Roman"/>
                <w:b/>
                <w:bCs/>
                <w:color w:val="auto"/>
              </w:rPr>
              <w:t>、风险防范措施</w:t>
            </w:r>
            <w:r>
              <w:rPr>
                <w:rFonts w:ascii="Times New Roman" w:cs="Times New Roman"/>
                <w:b/>
                <w:bCs/>
                <w:color w:val="auto"/>
              </w:rPr>
              <w:t xml:space="preserve"> </w:t>
            </w:r>
          </w:p>
          <w:p>
            <w:pPr>
              <w:spacing w:line="360" w:lineRule="auto"/>
              <w:ind w:firstLine="480" w:firstLineChars="200"/>
              <w:outlineLvl w:val="0"/>
              <w:rPr>
                <w:sz w:val="24"/>
                <w:szCs w:val="24"/>
              </w:rPr>
            </w:pPr>
            <w:r>
              <w:rPr>
                <w:rFonts w:hint="eastAsia"/>
                <w:sz w:val="24"/>
                <w:szCs w:val="24"/>
              </w:rPr>
              <w:t>（</w:t>
            </w:r>
            <w:r>
              <w:rPr>
                <w:sz w:val="24"/>
                <w:szCs w:val="24"/>
              </w:rPr>
              <w:t>1</w:t>
            </w:r>
            <w:r>
              <w:rPr>
                <w:rFonts w:hint="eastAsia"/>
                <w:sz w:val="24"/>
                <w:szCs w:val="24"/>
              </w:rPr>
              <w:t>）在项目区内设置</w:t>
            </w:r>
            <w:r>
              <w:rPr>
                <w:sz w:val="24"/>
                <w:szCs w:val="24"/>
              </w:rPr>
              <w:t>“</w:t>
            </w:r>
            <w:r>
              <w:rPr>
                <w:rFonts w:hint="eastAsia"/>
                <w:sz w:val="24"/>
                <w:szCs w:val="24"/>
              </w:rPr>
              <w:t>严禁烟火</w:t>
            </w:r>
            <w:r>
              <w:rPr>
                <w:sz w:val="24"/>
                <w:szCs w:val="24"/>
              </w:rPr>
              <w:t>”</w:t>
            </w:r>
            <w:r>
              <w:rPr>
                <w:rFonts w:hint="eastAsia"/>
                <w:sz w:val="24"/>
                <w:szCs w:val="24"/>
              </w:rPr>
              <w:t>的警示牌，尤其是在纸张等易燃品堆放的位置；</w:t>
            </w:r>
          </w:p>
          <w:p>
            <w:pPr>
              <w:spacing w:line="360" w:lineRule="auto"/>
              <w:ind w:firstLine="480" w:firstLineChars="200"/>
              <w:outlineLvl w:val="0"/>
              <w:rPr>
                <w:sz w:val="24"/>
                <w:szCs w:val="24"/>
              </w:rPr>
            </w:pPr>
            <w:r>
              <w:rPr>
                <w:rFonts w:hint="eastAsia"/>
                <w:sz w:val="24"/>
                <w:szCs w:val="24"/>
              </w:rPr>
              <w:t>（</w:t>
            </w:r>
            <w:r>
              <w:rPr>
                <w:sz w:val="24"/>
                <w:szCs w:val="24"/>
              </w:rPr>
              <w:t>2</w:t>
            </w:r>
            <w:r>
              <w:rPr>
                <w:rFonts w:hint="eastAsia"/>
                <w:sz w:val="24"/>
                <w:szCs w:val="24"/>
              </w:rPr>
              <w:t>）灭火器应布置在明显便于取用的地方，并定期维护检查，确保能正常使用；</w:t>
            </w:r>
          </w:p>
          <w:p>
            <w:pPr>
              <w:spacing w:line="360" w:lineRule="auto"/>
              <w:ind w:firstLine="480" w:firstLineChars="200"/>
              <w:outlineLvl w:val="0"/>
              <w:rPr>
                <w:sz w:val="24"/>
                <w:szCs w:val="24"/>
              </w:rPr>
            </w:pPr>
            <w:r>
              <w:rPr>
                <w:rFonts w:hint="eastAsia"/>
                <w:sz w:val="24"/>
                <w:szCs w:val="24"/>
              </w:rPr>
              <w:t>（</w:t>
            </w:r>
            <w:r>
              <w:rPr>
                <w:sz w:val="24"/>
                <w:szCs w:val="24"/>
              </w:rPr>
              <w:t>3</w:t>
            </w:r>
            <w:r>
              <w:rPr>
                <w:rFonts w:hint="eastAsia"/>
                <w:sz w:val="24"/>
                <w:szCs w:val="24"/>
              </w:rPr>
              <w:t>）制定和落实防火安全责任制及消防安全规章制度，除加强对员工的消防知识进行培训，对消防安全责任人及员工也定期进行消防知识培训，消防安全管理人员持证上岗；</w:t>
            </w:r>
          </w:p>
          <w:p>
            <w:pPr>
              <w:spacing w:line="360" w:lineRule="auto"/>
              <w:ind w:firstLine="480" w:firstLineChars="200"/>
              <w:outlineLvl w:val="0"/>
              <w:rPr>
                <w:sz w:val="24"/>
                <w:szCs w:val="24"/>
              </w:rPr>
            </w:pPr>
            <w:r>
              <w:rPr>
                <w:rFonts w:hint="eastAsia"/>
                <w:sz w:val="24"/>
                <w:szCs w:val="24"/>
              </w:rPr>
              <w:t>（</w:t>
            </w:r>
            <w:r>
              <w:rPr>
                <w:sz w:val="24"/>
                <w:szCs w:val="24"/>
              </w:rPr>
              <w:t>4</w:t>
            </w:r>
            <w:r>
              <w:rPr>
                <w:rFonts w:hint="eastAsia"/>
                <w:sz w:val="24"/>
                <w:szCs w:val="24"/>
              </w:rPr>
              <w:t>）自动消防系统应定期维护保养，保证消防设施正常运作；</w:t>
            </w:r>
          </w:p>
          <w:p>
            <w:pPr>
              <w:spacing w:line="360" w:lineRule="auto"/>
              <w:ind w:firstLine="480" w:firstLineChars="200"/>
              <w:outlineLvl w:val="0"/>
              <w:rPr>
                <w:sz w:val="24"/>
                <w:szCs w:val="24"/>
              </w:rPr>
            </w:pPr>
            <w:r>
              <w:rPr>
                <w:rFonts w:hint="eastAsia"/>
                <w:sz w:val="24"/>
                <w:szCs w:val="24"/>
              </w:rPr>
              <w:t>（</w:t>
            </w:r>
            <w:r>
              <w:rPr>
                <w:sz w:val="24"/>
                <w:szCs w:val="24"/>
              </w:rPr>
              <w:t>5</w:t>
            </w:r>
            <w:r>
              <w:rPr>
                <w:rFonts w:hint="eastAsia"/>
                <w:sz w:val="24"/>
                <w:szCs w:val="24"/>
              </w:rPr>
              <w:t>）对电路定期予以检查，用电负荷与电路的设计要匹配；</w:t>
            </w:r>
          </w:p>
          <w:p>
            <w:pPr>
              <w:spacing w:line="360" w:lineRule="auto"/>
              <w:ind w:firstLine="480" w:firstLineChars="200"/>
              <w:outlineLvl w:val="0"/>
              <w:rPr>
                <w:sz w:val="24"/>
                <w:szCs w:val="24"/>
              </w:rPr>
            </w:pPr>
            <w:r>
              <w:rPr>
                <w:rFonts w:hint="eastAsia"/>
                <w:sz w:val="24"/>
                <w:szCs w:val="24"/>
              </w:rPr>
              <w:t>（</w:t>
            </w:r>
            <w:r>
              <w:rPr>
                <w:sz w:val="24"/>
                <w:szCs w:val="24"/>
              </w:rPr>
              <w:t>6</w:t>
            </w:r>
            <w:r>
              <w:rPr>
                <w:rFonts w:hint="eastAsia"/>
                <w:sz w:val="24"/>
                <w:szCs w:val="24"/>
              </w:rPr>
              <w:t>）制定灭火和应急疏散预案，同时设置安全疏散通道。</w:t>
            </w:r>
          </w:p>
          <w:p>
            <w:pPr>
              <w:autoSpaceDE w:val="0"/>
              <w:autoSpaceDN w:val="0"/>
              <w:spacing w:line="360" w:lineRule="auto"/>
              <w:ind w:firstLine="480" w:firstLineChars="200"/>
              <w:jc w:val="left"/>
              <w:textAlignment w:val="auto"/>
              <w:rPr>
                <w:rFonts w:cs="宋体"/>
                <w:sz w:val="24"/>
                <w:szCs w:val="24"/>
              </w:rPr>
            </w:pPr>
            <w:r>
              <w:rPr>
                <w:rFonts w:hint="eastAsia"/>
                <w:sz w:val="24"/>
                <w:szCs w:val="24"/>
              </w:rPr>
              <w:t>只要项目严格落实上述措施，做好防火和消防措施，并加强防范意识，则项目营运期间发生火灾风险的概率较小。</w:t>
            </w:r>
          </w:p>
        </w:tc>
      </w:tr>
    </w:tbl>
    <w:p>
      <w:pPr>
        <w:pStyle w:val="44"/>
        <w:spacing w:line="360" w:lineRule="auto"/>
        <w:ind w:firstLine="480"/>
      </w:pPr>
    </w:p>
    <w:p>
      <w:pPr>
        <w:widowControl/>
        <w:adjustRightInd/>
        <w:spacing w:line="360" w:lineRule="auto"/>
        <w:jc w:val="left"/>
        <w:textAlignment w:val="auto"/>
        <w:rPr>
          <w:b/>
          <w:bCs/>
          <w:sz w:val="28"/>
          <w:szCs w:val="24"/>
        </w:rPr>
      </w:pPr>
      <w:r>
        <w:rPr>
          <w:b/>
          <w:bCs/>
          <w:sz w:val="28"/>
          <w:szCs w:val="24"/>
        </w:rPr>
        <w:br w:type="page"/>
      </w:r>
    </w:p>
    <w:p>
      <w:pPr>
        <w:spacing w:line="360" w:lineRule="auto"/>
        <w:outlineLvl w:val="0"/>
        <w:rPr>
          <w:b/>
          <w:bCs/>
          <w:sz w:val="28"/>
          <w:szCs w:val="24"/>
        </w:rPr>
      </w:pPr>
      <w:r>
        <w:rPr>
          <w:b/>
          <w:bCs/>
          <w:sz w:val="28"/>
          <w:szCs w:val="24"/>
        </w:rPr>
        <w:t>建设项目拟采取的防治措施及预期治理效果</w:t>
      </w:r>
    </w:p>
    <w:tbl>
      <w:tblPr>
        <w:tblStyle w:val="28"/>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425"/>
        <w:gridCol w:w="2552"/>
        <w:gridCol w:w="1276"/>
        <w:gridCol w:w="1617"/>
        <w:gridCol w:w="1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spacing w:line="240" w:lineRule="auto"/>
              <w:jc w:val="center"/>
              <w:rPr>
                <w:szCs w:val="21"/>
              </w:rPr>
            </w:pPr>
          </w:p>
        </w:tc>
        <w:tc>
          <w:tcPr>
            <w:tcW w:w="2977" w:type="dxa"/>
            <w:gridSpan w:val="2"/>
            <w:vAlign w:val="center"/>
          </w:tcPr>
          <w:p>
            <w:pPr>
              <w:spacing w:line="240" w:lineRule="auto"/>
              <w:jc w:val="center"/>
              <w:rPr>
                <w:b/>
                <w:szCs w:val="21"/>
              </w:rPr>
            </w:pPr>
            <w:r>
              <w:rPr>
                <w:rFonts w:hint="eastAsia"/>
                <w:b/>
                <w:szCs w:val="21"/>
              </w:rPr>
              <w:t>排放源</w:t>
            </w:r>
          </w:p>
        </w:tc>
        <w:tc>
          <w:tcPr>
            <w:tcW w:w="1276" w:type="dxa"/>
            <w:vAlign w:val="center"/>
          </w:tcPr>
          <w:p>
            <w:pPr>
              <w:spacing w:line="240" w:lineRule="auto"/>
              <w:jc w:val="center"/>
              <w:rPr>
                <w:b/>
                <w:szCs w:val="21"/>
              </w:rPr>
            </w:pPr>
            <w:r>
              <w:rPr>
                <w:rFonts w:hint="eastAsia"/>
                <w:b/>
                <w:szCs w:val="21"/>
              </w:rPr>
              <w:t>污染物名称</w:t>
            </w:r>
          </w:p>
        </w:tc>
        <w:tc>
          <w:tcPr>
            <w:tcW w:w="1617" w:type="dxa"/>
            <w:vAlign w:val="center"/>
          </w:tcPr>
          <w:p>
            <w:pPr>
              <w:spacing w:line="240" w:lineRule="auto"/>
              <w:jc w:val="center"/>
              <w:rPr>
                <w:b/>
                <w:szCs w:val="21"/>
              </w:rPr>
            </w:pPr>
            <w:r>
              <w:rPr>
                <w:rFonts w:hint="eastAsia"/>
                <w:b/>
                <w:szCs w:val="21"/>
              </w:rPr>
              <w:t>防治措施</w:t>
            </w:r>
          </w:p>
        </w:tc>
        <w:tc>
          <w:tcPr>
            <w:tcW w:w="1926" w:type="dxa"/>
            <w:vAlign w:val="center"/>
          </w:tcPr>
          <w:p>
            <w:pPr>
              <w:spacing w:line="240" w:lineRule="auto"/>
              <w:jc w:val="center"/>
              <w:rPr>
                <w:b/>
                <w:szCs w:val="21"/>
              </w:rPr>
            </w:pPr>
            <w:r>
              <w:rPr>
                <w:rFonts w:hint="eastAsia"/>
                <w:b/>
                <w:szCs w:val="21"/>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restart"/>
            <w:vAlign w:val="center"/>
          </w:tcPr>
          <w:p>
            <w:pPr>
              <w:spacing w:line="240" w:lineRule="auto"/>
              <w:ind w:left="113" w:right="113"/>
              <w:jc w:val="center"/>
              <w:rPr>
                <w:b/>
                <w:szCs w:val="21"/>
              </w:rPr>
            </w:pPr>
            <w:r>
              <w:rPr>
                <w:rFonts w:hint="eastAsia"/>
                <w:b/>
                <w:szCs w:val="21"/>
              </w:rPr>
              <w:t>大气污染物</w:t>
            </w:r>
          </w:p>
        </w:tc>
        <w:tc>
          <w:tcPr>
            <w:tcW w:w="425" w:type="dxa"/>
            <w:vMerge w:val="restart"/>
            <w:vAlign w:val="center"/>
          </w:tcPr>
          <w:p>
            <w:pPr>
              <w:spacing w:line="240" w:lineRule="auto"/>
              <w:jc w:val="center"/>
              <w:rPr>
                <w:szCs w:val="21"/>
              </w:rPr>
            </w:pPr>
            <w:r>
              <w:rPr>
                <w:rFonts w:hint="eastAsia"/>
                <w:szCs w:val="21"/>
              </w:rPr>
              <w:t>施工期</w:t>
            </w:r>
          </w:p>
        </w:tc>
        <w:tc>
          <w:tcPr>
            <w:tcW w:w="2552" w:type="dxa"/>
            <w:vAlign w:val="center"/>
          </w:tcPr>
          <w:p>
            <w:pPr>
              <w:spacing w:line="240" w:lineRule="auto"/>
              <w:jc w:val="center"/>
              <w:rPr>
                <w:szCs w:val="21"/>
              </w:rPr>
            </w:pPr>
            <w:r>
              <w:rPr>
                <w:rFonts w:hint="eastAsia"/>
                <w:szCs w:val="21"/>
              </w:rPr>
              <w:t>施工扬尘</w:t>
            </w:r>
          </w:p>
        </w:tc>
        <w:tc>
          <w:tcPr>
            <w:tcW w:w="1276" w:type="dxa"/>
            <w:vAlign w:val="center"/>
          </w:tcPr>
          <w:p>
            <w:pPr>
              <w:spacing w:line="240" w:lineRule="auto"/>
              <w:jc w:val="center"/>
              <w:rPr>
                <w:szCs w:val="21"/>
              </w:rPr>
            </w:pPr>
            <w:r>
              <w:rPr>
                <w:rFonts w:hint="eastAsia"/>
                <w:szCs w:val="21"/>
              </w:rPr>
              <w:t>TSP</w:t>
            </w:r>
          </w:p>
        </w:tc>
        <w:tc>
          <w:tcPr>
            <w:tcW w:w="1617" w:type="dxa"/>
            <w:vAlign w:val="center"/>
          </w:tcPr>
          <w:p>
            <w:pPr>
              <w:spacing w:line="240" w:lineRule="auto"/>
              <w:jc w:val="center"/>
              <w:rPr>
                <w:szCs w:val="21"/>
              </w:rPr>
            </w:pPr>
            <w:r>
              <w:rPr>
                <w:rFonts w:hint="eastAsia"/>
                <w:szCs w:val="21"/>
              </w:rPr>
              <w:t>洒水抑尘</w:t>
            </w:r>
          </w:p>
        </w:tc>
        <w:tc>
          <w:tcPr>
            <w:tcW w:w="1926" w:type="dxa"/>
            <w:vMerge w:val="restart"/>
            <w:vAlign w:val="center"/>
          </w:tcPr>
          <w:p>
            <w:pPr>
              <w:spacing w:line="240" w:lineRule="auto"/>
              <w:jc w:val="center"/>
              <w:rPr>
                <w:szCs w:val="21"/>
              </w:rPr>
            </w:pPr>
            <w:r>
              <w:rPr>
                <w:rFonts w:hint="eastAsia"/>
                <w:szCs w:val="21"/>
              </w:rPr>
              <w:t>对环境影响较小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spacing w:line="240" w:lineRule="auto"/>
              <w:jc w:val="center"/>
              <w:rPr>
                <w:szCs w:val="21"/>
              </w:rPr>
            </w:pPr>
          </w:p>
        </w:tc>
        <w:tc>
          <w:tcPr>
            <w:tcW w:w="425" w:type="dxa"/>
            <w:vMerge w:val="continue"/>
            <w:vAlign w:val="center"/>
          </w:tcPr>
          <w:p>
            <w:pPr>
              <w:spacing w:line="240" w:lineRule="auto"/>
              <w:jc w:val="center"/>
              <w:rPr>
                <w:szCs w:val="21"/>
              </w:rPr>
            </w:pPr>
          </w:p>
        </w:tc>
        <w:tc>
          <w:tcPr>
            <w:tcW w:w="2552" w:type="dxa"/>
            <w:vAlign w:val="center"/>
          </w:tcPr>
          <w:p>
            <w:pPr>
              <w:spacing w:line="240" w:lineRule="auto"/>
              <w:jc w:val="center"/>
              <w:rPr>
                <w:szCs w:val="21"/>
              </w:rPr>
            </w:pPr>
            <w:r>
              <w:rPr>
                <w:rFonts w:hint="eastAsia"/>
                <w:szCs w:val="21"/>
              </w:rPr>
              <w:t>运输车辆尾气</w:t>
            </w:r>
          </w:p>
        </w:tc>
        <w:tc>
          <w:tcPr>
            <w:tcW w:w="1276" w:type="dxa"/>
            <w:vAlign w:val="center"/>
          </w:tcPr>
          <w:p>
            <w:pPr>
              <w:spacing w:line="240" w:lineRule="auto"/>
              <w:jc w:val="center"/>
              <w:rPr>
                <w:szCs w:val="21"/>
              </w:rPr>
            </w:pPr>
            <w:r>
              <w:rPr>
                <w:rFonts w:hint="eastAsia"/>
                <w:szCs w:val="21"/>
              </w:rPr>
              <w:t>CO、NOx</w:t>
            </w:r>
          </w:p>
        </w:tc>
        <w:tc>
          <w:tcPr>
            <w:tcW w:w="1617" w:type="dxa"/>
            <w:vAlign w:val="center"/>
          </w:tcPr>
          <w:p>
            <w:pPr>
              <w:spacing w:line="240" w:lineRule="auto"/>
              <w:jc w:val="center"/>
              <w:rPr>
                <w:szCs w:val="21"/>
              </w:rPr>
            </w:pPr>
            <w:r>
              <w:rPr>
                <w:rFonts w:hint="eastAsia"/>
                <w:szCs w:val="21"/>
              </w:rPr>
              <w:t>加强管理</w:t>
            </w:r>
          </w:p>
        </w:tc>
        <w:tc>
          <w:tcPr>
            <w:tcW w:w="1926" w:type="dxa"/>
            <w:vMerge w:val="continue"/>
            <w:vAlign w:val="center"/>
          </w:tcPr>
          <w:p>
            <w:pPr>
              <w:spacing w:line="240" w:lineRule="auto"/>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spacing w:line="240" w:lineRule="auto"/>
              <w:jc w:val="center"/>
              <w:rPr>
                <w:szCs w:val="21"/>
              </w:rPr>
            </w:pPr>
          </w:p>
        </w:tc>
        <w:tc>
          <w:tcPr>
            <w:tcW w:w="425" w:type="dxa"/>
            <w:vMerge w:val="continue"/>
            <w:vAlign w:val="center"/>
          </w:tcPr>
          <w:p>
            <w:pPr>
              <w:spacing w:line="240" w:lineRule="auto"/>
              <w:jc w:val="center"/>
              <w:rPr>
                <w:szCs w:val="21"/>
              </w:rPr>
            </w:pPr>
          </w:p>
        </w:tc>
        <w:tc>
          <w:tcPr>
            <w:tcW w:w="2552" w:type="dxa"/>
            <w:vAlign w:val="center"/>
          </w:tcPr>
          <w:p>
            <w:pPr>
              <w:spacing w:line="240" w:lineRule="auto"/>
              <w:jc w:val="center"/>
              <w:rPr>
                <w:szCs w:val="21"/>
              </w:rPr>
            </w:pPr>
            <w:r>
              <w:rPr>
                <w:rFonts w:hint="eastAsia"/>
                <w:szCs w:val="21"/>
              </w:rPr>
              <w:t>装修废气</w:t>
            </w:r>
          </w:p>
        </w:tc>
        <w:tc>
          <w:tcPr>
            <w:tcW w:w="1276" w:type="dxa"/>
            <w:vAlign w:val="center"/>
          </w:tcPr>
          <w:p>
            <w:pPr>
              <w:spacing w:line="240" w:lineRule="auto"/>
              <w:jc w:val="center"/>
              <w:rPr>
                <w:szCs w:val="21"/>
              </w:rPr>
            </w:pPr>
            <w:r>
              <w:rPr>
                <w:rFonts w:hint="eastAsia"/>
                <w:szCs w:val="21"/>
              </w:rPr>
              <w:t>苯系物</w:t>
            </w:r>
          </w:p>
        </w:tc>
        <w:tc>
          <w:tcPr>
            <w:tcW w:w="1617" w:type="dxa"/>
            <w:vAlign w:val="center"/>
          </w:tcPr>
          <w:p>
            <w:pPr>
              <w:spacing w:line="240" w:lineRule="auto"/>
              <w:jc w:val="center"/>
              <w:rPr>
                <w:szCs w:val="21"/>
              </w:rPr>
            </w:pPr>
            <w:r>
              <w:rPr>
                <w:rFonts w:hint="eastAsia"/>
                <w:szCs w:val="21"/>
              </w:rPr>
              <w:t>采用环保型型装修材料</w:t>
            </w:r>
          </w:p>
        </w:tc>
        <w:tc>
          <w:tcPr>
            <w:tcW w:w="1926" w:type="dxa"/>
            <w:vMerge w:val="continue"/>
            <w:vAlign w:val="center"/>
          </w:tcPr>
          <w:p>
            <w:pPr>
              <w:spacing w:line="240" w:lineRule="auto"/>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spacing w:line="240" w:lineRule="auto"/>
              <w:jc w:val="center"/>
              <w:rPr>
                <w:szCs w:val="21"/>
              </w:rPr>
            </w:pPr>
          </w:p>
        </w:tc>
        <w:tc>
          <w:tcPr>
            <w:tcW w:w="425" w:type="dxa"/>
            <w:vMerge w:val="restart"/>
            <w:vAlign w:val="center"/>
          </w:tcPr>
          <w:p>
            <w:pPr>
              <w:spacing w:line="240" w:lineRule="auto"/>
              <w:jc w:val="center"/>
              <w:rPr>
                <w:szCs w:val="21"/>
              </w:rPr>
            </w:pPr>
            <w:r>
              <w:rPr>
                <w:rFonts w:hint="eastAsia"/>
                <w:szCs w:val="21"/>
              </w:rPr>
              <w:t>运营期</w:t>
            </w:r>
          </w:p>
        </w:tc>
        <w:tc>
          <w:tcPr>
            <w:tcW w:w="2552" w:type="dxa"/>
            <w:vAlign w:val="center"/>
          </w:tcPr>
          <w:p>
            <w:pPr>
              <w:spacing w:line="240" w:lineRule="auto"/>
              <w:jc w:val="center"/>
              <w:rPr>
                <w:szCs w:val="21"/>
              </w:rPr>
            </w:pPr>
            <w:r>
              <w:rPr>
                <w:rFonts w:hint="eastAsia"/>
                <w:szCs w:val="21"/>
              </w:rPr>
              <w:t>主城区垃圾转运站排气筒（1#）</w:t>
            </w:r>
          </w:p>
        </w:tc>
        <w:tc>
          <w:tcPr>
            <w:tcW w:w="1276" w:type="dxa"/>
            <w:vMerge w:val="restart"/>
            <w:vAlign w:val="center"/>
          </w:tcPr>
          <w:p>
            <w:pPr>
              <w:spacing w:line="240" w:lineRule="auto"/>
              <w:jc w:val="center"/>
              <w:rPr>
                <w:szCs w:val="21"/>
              </w:rPr>
            </w:pPr>
            <w:r>
              <w:rPr>
                <w:rFonts w:hint="eastAsia"/>
                <w:szCs w:val="21"/>
              </w:rPr>
              <w:t>H</w:t>
            </w:r>
            <w:r>
              <w:rPr>
                <w:rFonts w:hint="eastAsia"/>
                <w:szCs w:val="21"/>
                <w:vertAlign w:val="subscript"/>
              </w:rPr>
              <w:t>2</w:t>
            </w:r>
            <w:r>
              <w:rPr>
                <w:rFonts w:hint="eastAsia"/>
                <w:szCs w:val="21"/>
              </w:rPr>
              <w:t>S</w:t>
            </w:r>
          </w:p>
          <w:p>
            <w:pPr>
              <w:spacing w:line="240" w:lineRule="auto"/>
              <w:jc w:val="center"/>
              <w:rPr>
                <w:szCs w:val="21"/>
              </w:rPr>
            </w:pPr>
            <w:r>
              <w:rPr>
                <w:rFonts w:hint="eastAsia"/>
                <w:szCs w:val="21"/>
              </w:rPr>
              <w:t>NH</w:t>
            </w:r>
            <w:r>
              <w:rPr>
                <w:rFonts w:hint="eastAsia"/>
                <w:szCs w:val="21"/>
                <w:vertAlign w:val="subscript"/>
              </w:rPr>
              <w:t>3</w:t>
            </w:r>
          </w:p>
        </w:tc>
        <w:tc>
          <w:tcPr>
            <w:tcW w:w="1617" w:type="dxa"/>
            <w:vAlign w:val="center"/>
          </w:tcPr>
          <w:p>
            <w:pPr>
              <w:spacing w:line="240" w:lineRule="auto"/>
              <w:jc w:val="center"/>
              <w:rPr>
                <w:szCs w:val="21"/>
              </w:rPr>
            </w:pPr>
            <w:r>
              <w:rPr>
                <w:rFonts w:hint="eastAsia"/>
                <w:szCs w:val="21"/>
              </w:rPr>
              <w:t>负压抽风净化+雾化喷淋+生物除臭剂+</w:t>
            </w:r>
            <w:r>
              <w:rPr>
                <w:szCs w:val="21"/>
              </w:rPr>
              <w:t>15</w:t>
            </w:r>
            <w:r>
              <w:rPr>
                <w:rFonts w:hint="eastAsia"/>
                <w:szCs w:val="21"/>
              </w:rPr>
              <w:t>m排气筒</w:t>
            </w:r>
          </w:p>
        </w:tc>
        <w:tc>
          <w:tcPr>
            <w:tcW w:w="1926" w:type="dxa"/>
            <w:vMerge w:val="restart"/>
            <w:vAlign w:val="center"/>
          </w:tcPr>
          <w:p>
            <w:pPr>
              <w:pStyle w:val="105"/>
              <w:spacing w:line="240" w:lineRule="auto"/>
              <w:jc w:val="center"/>
              <w:textAlignment w:val="baseline"/>
              <w:rPr>
                <w:rFonts w:ascii="Times New Roman"/>
                <w:color w:val="auto"/>
                <w:sz w:val="21"/>
                <w:szCs w:val="21"/>
              </w:rPr>
            </w:pPr>
            <w:r>
              <w:rPr>
                <w:rFonts w:hint="eastAsia" w:ascii="Times New Roman"/>
                <w:color w:val="auto"/>
                <w:sz w:val="21"/>
                <w:szCs w:val="21"/>
              </w:rPr>
              <w:t>满足《恶臭污染物排放标准》（</w:t>
            </w:r>
            <w:r>
              <w:rPr>
                <w:rFonts w:ascii="Times New Roman" w:cs="Times New Roman"/>
                <w:color w:val="auto"/>
                <w:sz w:val="21"/>
                <w:szCs w:val="21"/>
              </w:rPr>
              <w:t>GB14554-93</w:t>
            </w:r>
            <w:r>
              <w:rPr>
                <w:rFonts w:hint="eastAsia" w:ascii="Times New Roman"/>
                <w:color w:val="auto"/>
                <w:sz w:val="21"/>
                <w:szCs w:val="21"/>
              </w:rPr>
              <w:t>）表</w:t>
            </w:r>
            <w:r>
              <w:rPr>
                <w:rFonts w:ascii="Times New Roman" w:cs="Times New Roman"/>
                <w:color w:val="auto"/>
                <w:sz w:val="21"/>
                <w:szCs w:val="21"/>
              </w:rPr>
              <w:t>2</w:t>
            </w:r>
            <w:r>
              <w:rPr>
                <w:rFonts w:hint="eastAsia" w:ascii="Times New Roman"/>
                <w:color w:val="auto"/>
                <w:sz w:val="21"/>
                <w:szCs w:val="21"/>
              </w:rPr>
              <w:t>污染物排放标准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spacing w:line="240" w:lineRule="auto"/>
              <w:jc w:val="center"/>
              <w:rPr>
                <w:szCs w:val="21"/>
              </w:rPr>
            </w:pPr>
          </w:p>
        </w:tc>
        <w:tc>
          <w:tcPr>
            <w:tcW w:w="425" w:type="dxa"/>
            <w:vMerge w:val="continue"/>
            <w:vAlign w:val="center"/>
          </w:tcPr>
          <w:p>
            <w:pPr>
              <w:spacing w:line="240" w:lineRule="auto"/>
              <w:jc w:val="center"/>
              <w:rPr>
                <w:szCs w:val="21"/>
              </w:rPr>
            </w:pPr>
          </w:p>
        </w:tc>
        <w:tc>
          <w:tcPr>
            <w:tcW w:w="2552" w:type="dxa"/>
            <w:vAlign w:val="center"/>
          </w:tcPr>
          <w:p>
            <w:pPr>
              <w:spacing w:line="240" w:lineRule="auto"/>
              <w:jc w:val="center"/>
              <w:rPr>
                <w:szCs w:val="21"/>
              </w:rPr>
            </w:pPr>
            <w:r>
              <w:rPr>
                <w:rFonts w:hint="eastAsia"/>
                <w:szCs w:val="21"/>
              </w:rPr>
              <w:t>寿王坟镇垃圾转运站排气筒（2#）</w:t>
            </w:r>
          </w:p>
        </w:tc>
        <w:tc>
          <w:tcPr>
            <w:tcW w:w="1276" w:type="dxa"/>
            <w:vMerge w:val="continue"/>
            <w:vAlign w:val="center"/>
          </w:tcPr>
          <w:p>
            <w:pPr>
              <w:spacing w:line="240" w:lineRule="auto"/>
              <w:jc w:val="center"/>
              <w:rPr>
                <w:szCs w:val="21"/>
              </w:rPr>
            </w:pPr>
          </w:p>
        </w:tc>
        <w:tc>
          <w:tcPr>
            <w:tcW w:w="1617" w:type="dxa"/>
            <w:vAlign w:val="center"/>
          </w:tcPr>
          <w:p>
            <w:pPr>
              <w:spacing w:line="240" w:lineRule="auto"/>
              <w:jc w:val="center"/>
              <w:rPr>
                <w:szCs w:val="21"/>
              </w:rPr>
            </w:pPr>
            <w:r>
              <w:rPr>
                <w:rFonts w:hint="eastAsia"/>
                <w:szCs w:val="21"/>
              </w:rPr>
              <w:t>负压抽风净化+雾化喷淋+生物除臭剂+</w:t>
            </w:r>
            <w:r>
              <w:rPr>
                <w:szCs w:val="21"/>
              </w:rPr>
              <w:t>15</w:t>
            </w:r>
            <w:r>
              <w:rPr>
                <w:rFonts w:hint="eastAsia"/>
                <w:szCs w:val="21"/>
              </w:rPr>
              <w:t>m排气筒</w:t>
            </w:r>
          </w:p>
        </w:tc>
        <w:tc>
          <w:tcPr>
            <w:tcW w:w="1926" w:type="dxa"/>
            <w:vMerge w:val="continue"/>
            <w:vAlign w:val="center"/>
          </w:tcPr>
          <w:p>
            <w:pPr>
              <w:pStyle w:val="105"/>
              <w:spacing w:line="240" w:lineRule="auto"/>
              <w:jc w:val="center"/>
              <w:textAlignment w:val="baseline"/>
              <w:rPr>
                <w:rFonts w:asci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spacing w:line="240" w:lineRule="auto"/>
              <w:jc w:val="center"/>
              <w:rPr>
                <w:szCs w:val="21"/>
              </w:rPr>
            </w:pPr>
          </w:p>
        </w:tc>
        <w:tc>
          <w:tcPr>
            <w:tcW w:w="425" w:type="dxa"/>
            <w:vMerge w:val="continue"/>
            <w:vAlign w:val="center"/>
          </w:tcPr>
          <w:p>
            <w:pPr>
              <w:spacing w:line="240" w:lineRule="auto"/>
              <w:jc w:val="center"/>
              <w:rPr>
                <w:szCs w:val="21"/>
              </w:rPr>
            </w:pPr>
          </w:p>
        </w:tc>
        <w:tc>
          <w:tcPr>
            <w:tcW w:w="2552" w:type="dxa"/>
            <w:vAlign w:val="center"/>
          </w:tcPr>
          <w:p>
            <w:pPr>
              <w:spacing w:line="240" w:lineRule="auto"/>
              <w:jc w:val="center"/>
              <w:rPr>
                <w:szCs w:val="21"/>
              </w:rPr>
            </w:pPr>
            <w:r>
              <w:rPr>
                <w:rFonts w:hint="eastAsia"/>
                <w:szCs w:val="21"/>
              </w:rPr>
              <w:t>主城区垃圾转运站转运车间（无组织）</w:t>
            </w:r>
          </w:p>
        </w:tc>
        <w:tc>
          <w:tcPr>
            <w:tcW w:w="1276" w:type="dxa"/>
            <w:vMerge w:val="continue"/>
            <w:vAlign w:val="center"/>
          </w:tcPr>
          <w:p>
            <w:pPr>
              <w:spacing w:line="240" w:lineRule="auto"/>
              <w:jc w:val="center"/>
              <w:rPr>
                <w:szCs w:val="21"/>
              </w:rPr>
            </w:pPr>
          </w:p>
        </w:tc>
        <w:tc>
          <w:tcPr>
            <w:tcW w:w="1617" w:type="dxa"/>
            <w:vAlign w:val="center"/>
          </w:tcPr>
          <w:p>
            <w:pPr>
              <w:spacing w:line="240" w:lineRule="auto"/>
              <w:jc w:val="center"/>
              <w:rPr>
                <w:szCs w:val="21"/>
              </w:rPr>
            </w:pPr>
            <w:r>
              <w:rPr>
                <w:rFonts w:hint="eastAsia"/>
                <w:szCs w:val="21"/>
              </w:rPr>
              <w:t>雾化喷淋系统</w:t>
            </w:r>
          </w:p>
        </w:tc>
        <w:tc>
          <w:tcPr>
            <w:tcW w:w="1926" w:type="dxa"/>
            <w:vMerge w:val="continue"/>
            <w:vAlign w:val="center"/>
          </w:tcPr>
          <w:p>
            <w:pPr>
              <w:pStyle w:val="105"/>
              <w:spacing w:line="240" w:lineRule="auto"/>
              <w:jc w:val="center"/>
              <w:textAlignment w:val="baseline"/>
              <w:rPr>
                <w:rFonts w:asci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spacing w:line="240" w:lineRule="auto"/>
              <w:jc w:val="center"/>
              <w:rPr>
                <w:szCs w:val="21"/>
              </w:rPr>
            </w:pPr>
          </w:p>
        </w:tc>
        <w:tc>
          <w:tcPr>
            <w:tcW w:w="425" w:type="dxa"/>
            <w:vMerge w:val="continue"/>
            <w:vAlign w:val="center"/>
          </w:tcPr>
          <w:p>
            <w:pPr>
              <w:spacing w:line="240" w:lineRule="auto"/>
              <w:jc w:val="center"/>
              <w:rPr>
                <w:szCs w:val="21"/>
              </w:rPr>
            </w:pPr>
          </w:p>
        </w:tc>
        <w:tc>
          <w:tcPr>
            <w:tcW w:w="2552" w:type="dxa"/>
            <w:vAlign w:val="center"/>
          </w:tcPr>
          <w:p>
            <w:pPr>
              <w:spacing w:line="240" w:lineRule="auto"/>
              <w:jc w:val="center"/>
              <w:rPr>
                <w:szCs w:val="21"/>
              </w:rPr>
            </w:pPr>
            <w:r>
              <w:rPr>
                <w:rFonts w:hint="eastAsia"/>
                <w:szCs w:val="21"/>
              </w:rPr>
              <w:t>寿王坟镇垃圾转运站转运车间（无组织）</w:t>
            </w:r>
          </w:p>
        </w:tc>
        <w:tc>
          <w:tcPr>
            <w:tcW w:w="1276" w:type="dxa"/>
            <w:vMerge w:val="continue"/>
            <w:vAlign w:val="center"/>
          </w:tcPr>
          <w:p>
            <w:pPr>
              <w:spacing w:line="240" w:lineRule="auto"/>
              <w:jc w:val="center"/>
              <w:rPr>
                <w:szCs w:val="21"/>
              </w:rPr>
            </w:pPr>
          </w:p>
        </w:tc>
        <w:tc>
          <w:tcPr>
            <w:tcW w:w="1617" w:type="dxa"/>
            <w:vAlign w:val="center"/>
          </w:tcPr>
          <w:p>
            <w:pPr>
              <w:spacing w:line="240" w:lineRule="auto"/>
              <w:jc w:val="center"/>
              <w:rPr>
                <w:szCs w:val="21"/>
              </w:rPr>
            </w:pPr>
            <w:r>
              <w:rPr>
                <w:rFonts w:hint="eastAsia"/>
                <w:szCs w:val="21"/>
              </w:rPr>
              <w:t>雾化喷淋系统</w:t>
            </w:r>
          </w:p>
        </w:tc>
        <w:tc>
          <w:tcPr>
            <w:tcW w:w="1926" w:type="dxa"/>
            <w:vMerge w:val="continue"/>
            <w:vAlign w:val="center"/>
          </w:tcPr>
          <w:p>
            <w:pPr>
              <w:pStyle w:val="105"/>
              <w:spacing w:line="240" w:lineRule="auto"/>
              <w:jc w:val="center"/>
              <w:textAlignment w:val="baseline"/>
              <w:rPr>
                <w:rFonts w:asci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spacing w:line="240" w:lineRule="auto"/>
              <w:jc w:val="center"/>
              <w:rPr>
                <w:szCs w:val="21"/>
              </w:rPr>
            </w:pPr>
          </w:p>
        </w:tc>
        <w:tc>
          <w:tcPr>
            <w:tcW w:w="425" w:type="dxa"/>
            <w:vMerge w:val="continue"/>
            <w:vAlign w:val="center"/>
          </w:tcPr>
          <w:p>
            <w:pPr>
              <w:spacing w:line="240" w:lineRule="auto"/>
              <w:jc w:val="center"/>
              <w:rPr>
                <w:szCs w:val="21"/>
              </w:rPr>
            </w:pPr>
          </w:p>
        </w:tc>
        <w:tc>
          <w:tcPr>
            <w:tcW w:w="2552" w:type="dxa"/>
            <w:vAlign w:val="center"/>
          </w:tcPr>
          <w:p>
            <w:pPr>
              <w:spacing w:line="240" w:lineRule="auto"/>
              <w:jc w:val="center"/>
              <w:rPr>
                <w:szCs w:val="21"/>
              </w:rPr>
            </w:pPr>
            <w:r>
              <w:rPr>
                <w:rFonts w:hint="eastAsia"/>
                <w:szCs w:val="21"/>
              </w:rPr>
              <w:t>道路运输扬尘</w:t>
            </w:r>
          </w:p>
        </w:tc>
        <w:tc>
          <w:tcPr>
            <w:tcW w:w="1276" w:type="dxa"/>
            <w:vAlign w:val="center"/>
          </w:tcPr>
          <w:p>
            <w:pPr>
              <w:spacing w:line="240" w:lineRule="auto"/>
              <w:jc w:val="center"/>
              <w:rPr>
                <w:szCs w:val="21"/>
              </w:rPr>
            </w:pPr>
            <w:r>
              <w:rPr>
                <w:rFonts w:hint="eastAsia"/>
                <w:szCs w:val="21"/>
              </w:rPr>
              <w:t>粉尘</w:t>
            </w:r>
          </w:p>
          <w:p>
            <w:pPr>
              <w:spacing w:line="240" w:lineRule="auto"/>
              <w:jc w:val="center"/>
              <w:rPr>
                <w:szCs w:val="21"/>
              </w:rPr>
            </w:pPr>
            <w:r>
              <w:rPr>
                <w:rFonts w:hint="eastAsia"/>
                <w:szCs w:val="21"/>
              </w:rPr>
              <w:t>恶臭</w:t>
            </w:r>
          </w:p>
        </w:tc>
        <w:tc>
          <w:tcPr>
            <w:tcW w:w="1617" w:type="dxa"/>
            <w:vAlign w:val="center"/>
          </w:tcPr>
          <w:p>
            <w:pPr>
              <w:pStyle w:val="105"/>
              <w:spacing w:line="240" w:lineRule="auto"/>
              <w:jc w:val="center"/>
              <w:textAlignment w:val="baseline"/>
              <w:rPr>
                <w:rFonts w:ascii="Times New Roman"/>
                <w:color w:val="auto"/>
                <w:sz w:val="21"/>
                <w:szCs w:val="21"/>
              </w:rPr>
            </w:pPr>
            <w:r>
              <w:rPr>
                <w:rFonts w:hint="eastAsia" w:ascii="Times New Roman"/>
                <w:color w:val="auto"/>
                <w:sz w:val="21"/>
                <w:szCs w:val="21"/>
              </w:rPr>
              <w:t>选择对附近居民等敏感点周围环境影响较小的运输路线。</w:t>
            </w:r>
          </w:p>
        </w:tc>
        <w:tc>
          <w:tcPr>
            <w:tcW w:w="1926" w:type="dxa"/>
            <w:vAlign w:val="center"/>
          </w:tcPr>
          <w:p>
            <w:pPr>
              <w:spacing w:line="240" w:lineRule="auto"/>
              <w:jc w:val="center"/>
              <w:rPr>
                <w:szCs w:val="21"/>
              </w:rPr>
            </w:pPr>
            <w:r>
              <w:rPr>
                <w:rFonts w:hint="eastAsia"/>
                <w:szCs w:val="21"/>
              </w:rPr>
              <w:t>对环境影响较小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spacing w:line="240" w:lineRule="auto"/>
              <w:jc w:val="center"/>
              <w:rPr>
                <w:szCs w:val="21"/>
              </w:rPr>
            </w:pPr>
          </w:p>
        </w:tc>
        <w:tc>
          <w:tcPr>
            <w:tcW w:w="425" w:type="dxa"/>
            <w:vMerge w:val="continue"/>
            <w:vAlign w:val="center"/>
          </w:tcPr>
          <w:p>
            <w:pPr>
              <w:spacing w:line="240" w:lineRule="auto"/>
              <w:jc w:val="center"/>
              <w:rPr>
                <w:szCs w:val="21"/>
              </w:rPr>
            </w:pPr>
          </w:p>
        </w:tc>
        <w:tc>
          <w:tcPr>
            <w:tcW w:w="2552" w:type="dxa"/>
            <w:vAlign w:val="center"/>
          </w:tcPr>
          <w:p>
            <w:pPr>
              <w:spacing w:line="240" w:lineRule="auto"/>
              <w:jc w:val="center"/>
              <w:rPr>
                <w:szCs w:val="21"/>
              </w:rPr>
            </w:pPr>
            <w:r>
              <w:rPr>
                <w:rFonts w:hint="eastAsia"/>
                <w:szCs w:val="21"/>
              </w:rPr>
              <w:t>淋浴餐厅</w:t>
            </w:r>
          </w:p>
        </w:tc>
        <w:tc>
          <w:tcPr>
            <w:tcW w:w="1276" w:type="dxa"/>
            <w:vAlign w:val="center"/>
          </w:tcPr>
          <w:p>
            <w:pPr>
              <w:spacing w:line="240" w:lineRule="auto"/>
              <w:jc w:val="center"/>
              <w:rPr>
                <w:szCs w:val="21"/>
              </w:rPr>
            </w:pPr>
            <w:r>
              <w:rPr>
                <w:rFonts w:hint="eastAsia"/>
                <w:szCs w:val="21"/>
              </w:rPr>
              <w:t>餐厅油烟</w:t>
            </w:r>
          </w:p>
        </w:tc>
        <w:tc>
          <w:tcPr>
            <w:tcW w:w="1617" w:type="dxa"/>
            <w:vAlign w:val="center"/>
          </w:tcPr>
          <w:p>
            <w:pPr>
              <w:pStyle w:val="105"/>
              <w:spacing w:line="240" w:lineRule="auto"/>
              <w:jc w:val="center"/>
              <w:textAlignment w:val="baseline"/>
              <w:rPr>
                <w:rFonts w:ascii="Times New Roman"/>
                <w:color w:val="auto"/>
                <w:sz w:val="21"/>
                <w:szCs w:val="21"/>
              </w:rPr>
            </w:pPr>
            <w:r>
              <w:rPr>
                <w:rFonts w:hint="eastAsia" w:ascii="Times New Roman"/>
                <w:color w:val="auto"/>
                <w:sz w:val="21"/>
                <w:szCs w:val="21"/>
              </w:rPr>
              <w:t>油烟净化器</w:t>
            </w:r>
          </w:p>
        </w:tc>
        <w:tc>
          <w:tcPr>
            <w:tcW w:w="1926" w:type="dxa"/>
            <w:vAlign w:val="center"/>
          </w:tcPr>
          <w:p>
            <w:pPr>
              <w:pStyle w:val="105"/>
              <w:spacing w:line="240" w:lineRule="auto"/>
              <w:jc w:val="center"/>
              <w:textAlignment w:val="baseline"/>
              <w:rPr>
                <w:rFonts w:ascii="Times New Roman"/>
                <w:color w:val="auto"/>
                <w:szCs w:val="21"/>
              </w:rPr>
            </w:pPr>
            <w:r>
              <w:rPr>
                <w:rFonts w:hint="eastAsia" w:ascii="Times New Roman"/>
                <w:color w:val="auto"/>
                <w:sz w:val="21"/>
                <w:szCs w:val="21"/>
              </w:rPr>
              <w:t>满足《饮食业油烟排放标准》（</w:t>
            </w:r>
            <w:r>
              <w:rPr>
                <w:rFonts w:ascii="Times New Roman"/>
                <w:color w:val="auto"/>
                <w:sz w:val="21"/>
                <w:szCs w:val="21"/>
              </w:rPr>
              <w:t>GB18483-2001</w:t>
            </w:r>
            <w:r>
              <w:rPr>
                <w:rFonts w:hint="eastAsia" w:ascii="Times New Roman"/>
                <w:color w:val="auto"/>
                <w:sz w:val="21"/>
                <w:szCs w:val="21"/>
              </w:rPr>
              <w:t>）中相关标准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restart"/>
            <w:vAlign w:val="center"/>
          </w:tcPr>
          <w:p>
            <w:pPr>
              <w:spacing w:line="240" w:lineRule="auto"/>
              <w:jc w:val="center"/>
              <w:rPr>
                <w:b/>
                <w:szCs w:val="21"/>
              </w:rPr>
            </w:pPr>
            <w:r>
              <w:rPr>
                <w:rFonts w:hint="eastAsia"/>
                <w:b/>
                <w:szCs w:val="21"/>
              </w:rPr>
              <w:t>水</w:t>
            </w:r>
          </w:p>
          <w:p>
            <w:pPr>
              <w:spacing w:line="240" w:lineRule="auto"/>
              <w:jc w:val="center"/>
              <w:rPr>
                <w:b/>
                <w:szCs w:val="21"/>
              </w:rPr>
            </w:pPr>
            <w:r>
              <w:rPr>
                <w:rFonts w:hint="eastAsia"/>
                <w:b/>
                <w:szCs w:val="21"/>
              </w:rPr>
              <w:t>污</w:t>
            </w:r>
          </w:p>
          <w:p>
            <w:pPr>
              <w:spacing w:line="240" w:lineRule="auto"/>
              <w:jc w:val="center"/>
              <w:rPr>
                <w:b/>
                <w:szCs w:val="21"/>
              </w:rPr>
            </w:pPr>
            <w:r>
              <w:rPr>
                <w:rFonts w:hint="eastAsia"/>
                <w:b/>
                <w:szCs w:val="21"/>
              </w:rPr>
              <w:t>染</w:t>
            </w:r>
          </w:p>
          <w:p>
            <w:pPr>
              <w:spacing w:line="240" w:lineRule="auto"/>
              <w:jc w:val="center"/>
              <w:rPr>
                <w:b/>
                <w:szCs w:val="21"/>
              </w:rPr>
            </w:pPr>
            <w:r>
              <w:rPr>
                <w:rFonts w:hint="eastAsia"/>
                <w:b/>
                <w:szCs w:val="21"/>
              </w:rPr>
              <w:t>物</w:t>
            </w:r>
          </w:p>
        </w:tc>
        <w:tc>
          <w:tcPr>
            <w:tcW w:w="425" w:type="dxa"/>
            <w:vMerge w:val="restart"/>
            <w:vAlign w:val="center"/>
          </w:tcPr>
          <w:p>
            <w:pPr>
              <w:spacing w:line="240" w:lineRule="auto"/>
              <w:jc w:val="center"/>
              <w:rPr>
                <w:szCs w:val="21"/>
              </w:rPr>
            </w:pPr>
            <w:r>
              <w:rPr>
                <w:rFonts w:hint="eastAsia"/>
                <w:szCs w:val="21"/>
              </w:rPr>
              <w:t>施工期</w:t>
            </w:r>
          </w:p>
        </w:tc>
        <w:tc>
          <w:tcPr>
            <w:tcW w:w="2552" w:type="dxa"/>
            <w:vAlign w:val="center"/>
          </w:tcPr>
          <w:p>
            <w:pPr>
              <w:spacing w:line="240" w:lineRule="auto"/>
              <w:jc w:val="center"/>
              <w:rPr>
                <w:szCs w:val="21"/>
              </w:rPr>
            </w:pPr>
            <w:r>
              <w:rPr>
                <w:rFonts w:hint="eastAsia"/>
                <w:szCs w:val="21"/>
              </w:rPr>
              <w:t>施工废水</w:t>
            </w:r>
          </w:p>
        </w:tc>
        <w:tc>
          <w:tcPr>
            <w:tcW w:w="1276" w:type="dxa"/>
            <w:vAlign w:val="center"/>
          </w:tcPr>
          <w:p>
            <w:pPr>
              <w:spacing w:line="240" w:lineRule="auto"/>
              <w:jc w:val="center"/>
              <w:rPr>
                <w:szCs w:val="21"/>
              </w:rPr>
            </w:pPr>
            <w:r>
              <w:rPr>
                <w:rFonts w:hint="eastAsia"/>
                <w:szCs w:val="21"/>
              </w:rPr>
              <w:t>石油类</w:t>
            </w:r>
          </w:p>
          <w:p>
            <w:pPr>
              <w:spacing w:line="240" w:lineRule="auto"/>
              <w:jc w:val="center"/>
              <w:rPr>
                <w:szCs w:val="21"/>
              </w:rPr>
            </w:pPr>
            <w:r>
              <w:rPr>
                <w:rFonts w:hint="eastAsia"/>
                <w:szCs w:val="21"/>
              </w:rPr>
              <w:t>SS</w:t>
            </w:r>
          </w:p>
        </w:tc>
        <w:tc>
          <w:tcPr>
            <w:tcW w:w="1617" w:type="dxa"/>
            <w:vAlign w:val="center"/>
          </w:tcPr>
          <w:p>
            <w:pPr>
              <w:pStyle w:val="105"/>
              <w:spacing w:line="240" w:lineRule="auto"/>
              <w:jc w:val="center"/>
              <w:textAlignment w:val="baseline"/>
              <w:rPr>
                <w:rFonts w:ascii="Times New Roman"/>
                <w:color w:val="auto"/>
                <w:sz w:val="21"/>
                <w:szCs w:val="21"/>
              </w:rPr>
            </w:pPr>
            <w:r>
              <w:rPr>
                <w:rFonts w:hint="eastAsia" w:ascii="Times New Roman"/>
                <w:color w:val="auto"/>
                <w:sz w:val="21"/>
                <w:szCs w:val="21"/>
              </w:rPr>
              <w:t>设置简易沉淀池，经沉淀池预处理后循环利用</w:t>
            </w:r>
          </w:p>
        </w:tc>
        <w:tc>
          <w:tcPr>
            <w:tcW w:w="1926" w:type="dxa"/>
            <w:vAlign w:val="center"/>
          </w:tcPr>
          <w:p>
            <w:pPr>
              <w:spacing w:line="240" w:lineRule="auto"/>
              <w:jc w:val="center"/>
              <w:rPr>
                <w:szCs w:val="21"/>
              </w:rPr>
            </w:pPr>
            <w:r>
              <w:rPr>
                <w:rFonts w:hint="eastAsia"/>
                <w:szCs w:val="21"/>
              </w:rPr>
              <w:t>对环境影响较小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spacing w:line="240" w:lineRule="auto"/>
              <w:jc w:val="center"/>
              <w:rPr>
                <w:szCs w:val="21"/>
              </w:rPr>
            </w:pPr>
          </w:p>
        </w:tc>
        <w:tc>
          <w:tcPr>
            <w:tcW w:w="425" w:type="dxa"/>
            <w:vMerge w:val="continue"/>
            <w:vAlign w:val="center"/>
          </w:tcPr>
          <w:p>
            <w:pPr>
              <w:spacing w:line="240" w:lineRule="auto"/>
              <w:jc w:val="center"/>
              <w:rPr>
                <w:szCs w:val="21"/>
              </w:rPr>
            </w:pPr>
          </w:p>
        </w:tc>
        <w:tc>
          <w:tcPr>
            <w:tcW w:w="2552" w:type="dxa"/>
            <w:vAlign w:val="center"/>
          </w:tcPr>
          <w:p>
            <w:pPr>
              <w:spacing w:line="240" w:lineRule="auto"/>
              <w:jc w:val="center"/>
              <w:rPr>
                <w:szCs w:val="21"/>
              </w:rPr>
            </w:pPr>
            <w:r>
              <w:rPr>
                <w:rFonts w:hint="eastAsia"/>
                <w:szCs w:val="21"/>
              </w:rPr>
              <w:t>员工生活污水</w:t>
            </w:r>
          </w:p>
        </w:tc>
        <w:tc>
          <w:tcPr>
            <w:tcW w:w="1276" w:type="dxa"/>
            <w:vAlign w:val="center"/>
          </w:tcPr>
          <w:p>
            <w:pPr>
              <w:spacing w:line="240" w:lineRule="auto"/>
              <w:jc w:val="center"/>
              <w:rPr>
                <w:szCs w:val="21"/>
              </w:rPr>
            </w:pPr>
            <w:r>
              <w:rPr>
                <w:rFonts w:hint="eastAsia"/>
                <w:szCs w:val="21"/>
              </w:rPr>
              <w:t>COD</w:t>
            </w:r>
            <w:r>
              <w:rPr>
                <w:rFonts w:hint="eastAsia"/>
                <w:szCs w:val="21"/>
                <w:vertAlign w:val="subscript"/>
              </w:rPr>
              <w:t>cr</w:t>
            </w:r>
          </w:p>
          <w:p>
            <w:pPr>
              <w:spacing w:line="240" w:lineRule="auto"/>
              <w:jc w:val="center"/>
              <w:rPr>
                <w:szCs w:val="21"/>
              </w:rPr>
            </w:pPr>
            <w:r>
              <w:rPr>
                <w:rFonts w:hint="eastAsia"/>
                <w:szCs w:val="21"/>
              </w:rPr>
              <w:t>BOD</w:t>
            </w:r>
            <w:r>
              <w:rPr>
                <w:szCs w:val="21"/>
                <w:vertAlign w:val="subscript"/>
              </w:rPr>
              <w:t>5</w:t>
            </w:r>
          </w:p>
          <w:p>
            <w:pPr>
              <w:spacing w:line="240" w:lineRule="auto"/>
              <w:jc w:val="center"/>
              <w:rPr>
                <w:szCs w:val="21"/>
              </w:rPr>
            </w:pPr>
            <w:r>
              <w:rPr>
                <w:rFonts w:hint="eastAsia"/>
                <w:szCs w:val="21"/>
              </w:rPr>
              <w:t>SS</w:t>
            </w:r>
          </w:p>
          <w:p>
            <w:pPr>
              <w:spacing w:line="240" w:lineRule="auto"/>
              <w:jc w:val="center"/>
              <w:rPr>
                <w:szCs w:val="21"/>
              </w:rPr>
            </w:pPr>
            <w:r>
              <w:rPr>
                <w:rFonts w:hint="eastAsia"/>
                <w:szCs w:val="21"/>
              </w:rPr>
              <w:t>NH</w:t>
            </w:r>
            <w:r>
              <w:rPr>
                <w:rFonts w:hint="eastAsia"/>
                <w:szCs w:val="21"/>
                <w:vertAlign w:val="subscript"/>
              </w:rPr>
              <w:t>3</w:t>
            </w:r>
            <w:r>
              <w:rPr>
                <w:rFonts w:hint="eastAsia"/>
                <w:szCs w:val="21"/>
              </w:rPr>
              <w:t>-N</w:t>
            </w:r>
          </w:p>
        </w:tc>
        <w:tc>
          <w:tcPr>
            <w:tcW w:w="1617" w:type="dxa"/>
            <w:vAlign w:val="center"/>
          </w:tcPr>
          <w:p>
            <w:pPr>
              <w:pStyle w:val="105"/>
              <w:spacing w:line="240" w:lineRule="auto"/>
              <w:jc w:val="center"/>
              <w:textAlignment w:val="baseline"/>
              <w:rPr>
                <w:rFonts w:ascii="Times New Roman"/>
                <w:color w:val="auto"/>
                <w:sz w:val="21"/>
                <w:szCs w:val="21"/>
              </w:rPr>
            </w:pPr>
            <w:r>
              <w:rPr>
                <w:rFonts w:hint="eastAsia" w:ascii="Times New Roman"/>
                <w:color w:val="auto"/>
                <w:sz w:val="21"/>
                <w:szCs w:val="21"/>
              </w:rPr>
              <w:t>设置污水收集池，用转运运输车运至寿王坟镇污水处理厂处理</w:t>
            </w:r>
          </w:p>
        </w:tc>
        <w:tc>
          <w:tcPr>
            <w:tcW w:w="1926" w:type="dxa"/>
            <w:vAlign w:val="center"/>
          </w:tcPr>
          <w:p>
            <w:pPr>
              <w:spacing w:line="240" w:lineRule="auto"/>
              <w:jc w:val="center"/>
              <w:rPr>
                <w:szCs w:val="21"/>
              </w:rPr>
            </w:pPr>
            <w:r>
              <w:rPr>
                <w:rFonts w:hint="eastAsia"/>
                <w:szCs w:val="21"/>
              </w:rPr>
              <w:t>达到寿王坟镇污水处理厂进水</w:t>
            </w:r>
            <w:r>
              <w:rPr>
                <w:spacing w:val="-10"/>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spacing w:line="240" w:lineRule="auto"/>
              <w:jc w:val="center"/>
              <w:rPr>
                <w:szCs w:val="21"/>
              </w:rPr>
            </w:pPr>
          </w:p>
        </w:tc>
        <w:tc>
          <w:tcPr>
            <w:tcW w:w="425" w:type="dxa"/>
            <w:vAlign w:val="center"/>
          </w:tcPr>
          <w:p>
            <w:pPr>
              <w:spacing w:line="240" w:lineRule="auto"/>
              <w:jc w:val="center"/>
              <w:rPr>
                <w:szCs w:val="21"/>
              </w:rPr>
            </w:pPr>
            <w:r>
              <w:rPr>
                <w:rFonts w:hint="eastAsia"/>
                <w:szCs w:val="21"/>
              </w:rPr>
              <w:t>运营期</w:t>
            </w:r>
          </w:p>
        </w:tc>
        <w:tc>
          <w:tcPr>
            <w:tcW w:w="2552" w:type="dxa"/>
            <w:vAlign w:val="center"/>
          </w:tcPr>
          <w:p>
            <w:pPr>
              <w:spacing w:line="240" w:lineRule="auto"/>
              <w:jc w:val="center"/>
              <w:rPr>
                <w:szCs w:val="21"/>
              </w:rPr>
            </w:pPr>
            <w:r>
              <w:rPr>
                <w:rFonts w:hint="eastAsia"/>
                <w:szCs w:val="21"/>
              </w:rPr>
              <w:t>垃圾渗滤液</w:t>
            </w:r>
          </w:p>
          <w:p>
            <w:pPr>
              <w:spacing w:line="240" w:lineRule="auto"/>
              <w:jc w:val="center"/>
              <w:rPr>
                <w:szCs w:val="21"/>
              </w:rPr>
            </w:pPr>
            <w:r>
              <w:rPr>
                <w:rFonts w:hint="eastAsia"/>
                <w:szCs w:val="21"/>
              </w:rPr>
              <w:t>冲洗废水</w:t>
            </w:r>
          </w:p>
          <w:p>
            <w:pPr>
              <w:spacing w:line="240" w:lineRule="auto"/>
              <w:jc w:val="center"/>
              <w:rPr>
                <w:szCs w:val="21"/>
              </w:rPr>
            </w:pPr>
            <w:r>
              <w:rPr>
                <w:rFonts w:hint="eastAsia"/>
                <w:szCs w:val="21"/>
              </w:rPr>
              <w:t>生活污水</w:t>
            </w:r>
          </w:p>
        </w:tc>
        <w:tc>
          <w:tcPr>
            <w:tcW w:w="1276" w:type="dxa"/>
            <w:vAlign w:val="center"/>
          </w:tcPr>
          <w:p>
            <w:pPr>
              <w:spacing w:line="240" w:lineRule="auto"/>
              <w:jc w:val="center"/>
              <w:rPr>
                <w:szCs w:val="21"/>
              </w:rPr>
            </w:pPr>
            <w:r>
              <w:rPr>
                <w:rFonts w:hint="eastAsia"/>
                <w:szCs w:val="21"/>
              </w:rPr>
              <w:t>COD</w:t>
            </w:r>
            <w:r>
              <w:rPr>
                <w:rFonts w:hint="eastAsia"/>
                <w:szCs w:val="21"/>
                <w:vertAlign w:val="subscript"/>
              </w:rPr>
              <w:t>cr</w:t>
            </w:r>
          </w:p>
          <w:p>
            <w:pPr>
              <w:spacing w:line="240" w:lineRule="auto"/>
              <w:jc w:val="center"/>
              <w:rPr>
                <w:szCs w:val="21"/>
              </w:rPr>
            </w:pPr>
            <w:r>
              <w:rPr>
                <w:rFonts w:hint="eastAsia"/>
                <w:szCs w:val="21"/>
              </w:rPr>
              <w:t>BOD</w:t>
            </w:r>
            <w:r>
              <w:rPr>
                <w:szCs w:val="21"/>
                <w:vertAlign w:val="subscript"/>
              </w:rPr>
              <w:t>5</w:t>
            </w:r>
          </w:p>
          <w:p>
            <w:pPr>
              <w:spacing w:line="240" w:lineRule="auto"/>
              <w:jc w:val="center"/>
              <w:rPr>
                <w:szCs w:val="21"/>
              </w:rPr>
            </w:pPr>
            <w:r>
              <w:rPr>
                <w:rFonts w:hint="eastAsia"/>
                <w:szCs w:val="21"/>
              </w:rPr>
              <w:t>SS</w:t>
            </w:r>
          </w:p>
          <w:p>
            <w:pPr>
              <w:spacing w:line="240" w:lineRule="auto"/>
              <w:jc w:val="center"/>
              <w:rPr>
                <w:szCs w:val="21"/>
              </w:rPr>
            </w:pPr>
            <w:r>
              <w:rPr>
                <w:rFonts w:hint="eastAsia"/>
                <w:szCs w:val="21"/>
              </w:rPr>
              <w:t>NH</w:t>
            </w:r>
            <w:r>
              <w:rPr>
                <w:rFonts w:hint="eastAsia"/>
                <w:szCs w:val="21"/>
                <w:vertAlign w:val="subscript"/>
              </w:rPr>
              <w:t>3</w:t>
            </w:r>
            <w:r>
              <w:rPr>
                <w:rFonts w:hint="eastAsia"/>
                <w:szCs w:val="21"/>
              </w:rPr>
              <w:t>-N</w:t>
            </w:r>
          </w:p>
        </w:tc>
        <w:tc>
          <w:tcPr>
            <w:tcW w:w="1617" w:type="dxa"/>
            <w:vAlign w:val="center"/>
          </w:tcPr>
          <w:p>
            <w:pPr>
              <w:spacing w:line="240" w:lineRule="auto"/>
              <w:jc w:val="center"/>
              <w:rPr>
                <w:szCs w:val="21"/>
              </w:rPr>
            </w:pPr>
            <w:r>
              <w:rPr>
                <w:rFonts w:hint="eastAsia"/>
                <w:szCs w:val="21"/>
              </w:rPr>
              <w:t>设置污水收集池，用转运运输车运至</w:t>
            </w:r>
            <w:r>
              <w:rPr>
                <w:rFonts w:hint="eastAsia" w:cs="宋体"/>
                <w:szCs w:val="21"/>
              </w:rPr>
              <w:t>鹰手营子矿区</w:t>
            </w:r>
            <w:r>
              <w:rPr>
                <w:rFonts w:hint="eastAsia"/>
                <w:szCs w:val="21"/>
              </w:rPr>
              <w:t>垃圾填埋场渗滤液处理站处理</w:t>
            </w:r>
          </w:p>
        </w:tc>
        <w:tc>
          <w:tcPr>
            <w:tcW w:w="1926" w:type="dxa"/>
            <w:vAlign w:val="center"/>
          </w:tcPr>
          <w:p>
            <w:pPr>
              <w:spacing w:line="240" w:lineRule="auto"/>
              <w:jc w:val="center"/>
              <w:rPr>
                <w:szCs w:val="21"/>
              </w:rPr>
            </w:pPr>
            <w:r>
              <w:rPr>
                <w:rFonts w:hint="eastAsia"/>
                <w:szCs w:val="21"/>
              </w:rPr>
              <w:t>满足</w:t>
            </w:r>
            <w:r>
              <w:rPr>
                <w:rFonts w:hint="eastAsia" w:cs="宋体"/>
                <w:szCs w:val="21"/>
              </w:rPr>
              <w:t>污水处理厂</w:t>
            </w:r>
            <w:r>
              <w:rPr>
                <w:rFonts w:hint="eastAsia"/>
                <w:szCs w:val="21"/>
              </w:rPr>
              <w:t>进水</w:t>
            </w:r>
            <w:r>
              <w:rPr>
                <w:spacing w:val="-10"/>
                <w:szCs w:val="21"/>
              </w:rPr>
              <w:t>标准</w:t>
            </w:r>
            <w:r>
              <w:rPr>
                <w:rFonts w:hint="eastAsia"/>
                <w:spacing w:val="-10"/>
                <w:szCs w:val="21"/>
              </w:rPr>
              <w:t>，同时满足</w:t>
            </w:r>
            <w:r>
              <w:rPr>
                <w:rFonts w:hint="eastAsia"/>
                <w:szCs w:val="21"/>
              </w:rPr>
              <w:t>《生活垃圾填埋场污染控制标准》（</w:t>
            </w:r>
            <w:r>
              <w:rPr>
                <w:szCs w:val="21"/>
              </w:rPr>
              <w:t>GB16889-2008</w:t>
            </w:r>
            <w:r>
              <w:rPr>
                <w:rFonts w:hint="eastAsia"/>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04" w:type="dxa"/>
            <w:vMerge w:val="restart"/>
            <w:vAlign w:val="center"/>
          </w:tcPr>
          <w:p>
            <w:pPr>
              <w:spacing w:line="240" w:lineRule="auto"/>
              <w:ind w:left="113" w:right="113"/>
              <w:jc w:val="center"/>
              <w:rPr>
                <w:b/>
                <w:szCs w:val="21"/>
              </w:rPr>
            </w:pPr>
            <w:r>
              <w:rPr>
                <w:rFonts w:hint="eastAsia"/>
                <w:b/>
                <w:szCs w:val="21"/>
              </w:rPr>
              <w:t>固体废物</w:t>
            </w:r>
          </w:p>
        </w:tc>
        <w:tc>
          <w:tcPr>
            <w:tcW w:w="425" w:type="dxa"/>
            <w:vMerge w:val="restart"/>
            <w:vAlign w:val="center"/>
          </w:tcPr>
          <w:p>
            <w:pPr>
              <w:spacing w:line="240" w:lineRule="auto"/>
              <w:jc w:val="center"/>
              <w:rPr>
                <w:szCs w:val="21"/>
              </w:rPr>
            </w:pPr>
            <w:r>
              <w:rPr>
                <w:rFonts w:hint="eastAsia"/>
                <w:szCs w:val="21"/>
              </w:rPr>
              <w:t>施工期</w:t>
            </w:r>
          </w:p>
        </w:tc>
        <w:tc>
          <w:tcPr>
            <w:tcW w:w="2552" w:type="dxa"/>
            <w:vAlign w:val="center"/>
          </w:tcPr>
          <w:p>
            <w:pPr>
              <w:spacing w:line="240" w:lineRule="auto"/>
              <w:jc w:val="center"/>
              <w:rPr>
                <w:szCs w:val="21"/>
              </w:rPr>
            </w:pPr>
            <w:r>
              <w:rPr>
                <w:rFonts w:hint="eastAsia"/>
                <w:szCs w:val="21"/>
              </w:rPr>
              <w:t>施工过程</w:t>
            </w:r>
          </w:p>
        </w:tc>
        <w:tc>
          <w:tcPr>
            <w:tcW w:w="1276" w:type="dxa"/>
            <w:vAlign w:val="center"/>
          </w:tcPr>
          <w:p>
            <w:pPr>
              <w:spacing w:line="240" w:lineRule="auto"/>
              <w:jc w:val="center"/>
              <w:rPr>
                <w:szCs w:val="21"/>
              </w:rPr>
            </w:pPr>
            <w:r>
              <w:rPr>
                <w:rFonts w:hint="eastAsia"/>
                <w:szCs w:val="21"/>
              </w:rPr>
              <w:t>建筑垃圾</w:t>
            </w:r>
          </w:p>
        </w:tc>
        <w:tc>
          <w:tcPr>
            <w:tcW w:w="1617" w:type="dxa"/>
            <w:vAlign w:val="center"/>
          </w:tcPr>
          <w:p>
            <w:pPr>
              <w:spacing w:line="240" w:lineRule="auto"/>
              <w:jc w:val="center"/>
              <w:rPr>
                <w:szCs w:val="21"/>
              </w:rPr>
            </w:pPr>
            <w:r>
              <w:rPr>
                <w:rFonts w:hint="eastAsia"/>
                <w:szCs w:val="21"/>
              </w:rPr>
              <w:t>分类回收</w:t>
            </w:r>
          </w:p>
        </w:tc>
        <w:tc>
          <w:tcPr>
            <w:tcW w:w="1926" w:type="dxa"/>
            <w:vMerge w:val="restart"/>
            <w:vAlign w:val="center"/>
          </w:tcPr>
          <w:p>
            <w:pPr>
              <w:pStyle w:val="105"/>
              <w:spacing w:line="240" w:lineRule="auto"/>
              <w:jc w:val="center"/>
              <w:textAlignment w:val="baseline"/>
              <w:rPr>
                <w:rFonts w:ascii="Times New Roman"/>
                <w:color w:val="auto"/>
                <w:sz w:val="21"/>
                <w:szCs w:val="21"/>
              </w:rPr>
            </w:pPr>
            <w:r>
              <w:rPr>
                <w:rFonts w:hint="eastAsia" w:ascii="Times New Roman"/>
                <w:color w:val="auto"/>
                <w:sz w:val="21"/>
                <w:szCs w:val="21"/>
              </w:rPr>
              <w:t>不会对周围环境产生直接影响。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spacing w:line="240" w:lineRule="auto"/>
              <w:jc w:val="center"/>
              <w:rPr>
                <w:szCs w:val="21"/>
              </w:rPr>
            </w:pPr>
          </w:p>
        </w:tc>
        <w:tc>
          <w:tcPr>
            <w:tcW w:w="425" w:type="dxa"/>
            <w:vMerge w:val="continue"/>
            <w:vAlign w:val="center"/>
          </w:tcPr>
          <w:p>
            <w:pPr>
              <w:spacing w:line="240" w:lineRule="auto"/>
              <w:jc w:val="center"/>
              <w:rPr>
                <w:szCs w:val="21"/>
              </w:rPr>
            </w:pPr>
          </w:p>
        </w:tc>
        <w:tc>
          <w:tcPr>
            <w:tcW w:w="2552" w:type="dxa"/>
            <w:vAlign w:val="center"/>
          </w:tcPr>
          <w:p>
            <w:pPr>
              <w:spacing w:line="240" w:lineRule="auto"/>
              <w:jc w:val="center"/>
              <w:rPr>
                <w:szCs w:val="21"/>
              </w:rPr>
            </w:pPr>
            <w:r>
              <w:rPr>
                <w:rFonts w:hint="eastAsia"/>
                <w:szCs w:val="21"/>
              </w:rPr>
              <w:t>施工员工生活</w:t>
            </w:r>
          </w:p>
        </w:tc>
        <w:tc>
          <w:tcPr>
            <w:tcW w:w="1276" w:type="dxa"/>
            <w:vAlign w:val="center"/>
          </w:tcPr>
          <w:p>
            <w:pPr>
              <w:spacing w:line="240" w:lineRule="auto"/>
              <w:jc w:val="center"/>
              <w:rPr>
                <w:szCs w:val="21"/>
              </w:rPr>
            </w:pPr>
            <w:r>
              <w:rPr>
                <w:rFonts w:hint="eastAsia"/>
                <w:szCs w:val="21"/>
              </w:rPr>
              <w:t>生活垃圾</w:t>
            </w:r>
          </w:p>
        </w:tc>
        <w:tc>
          <w:tcPr>
            <w:tcW w:w="1617" w:type="dxa"/>
            <w:vAlign w:val="center"/>
          </w:tcPr>
          <w:p>
            <w:pPr>
              <w:spacing w:line="240" w:lineRule="auto"/>
              <w:jc w:val="center"/>
              <w:rPr>
                <w:szCs w:val="21"/>
              </w:rPr>
            </w:pPr>
            <w:r>
              <w:rPr>
                <w:rFonts w:hint="eastAsia"/>
                <w:szCs w:val="21"/>
              </w:rPr>
              <w:t>统一收集处理</w:t>
            </w:r>
          </w:p>
        </w:tc>
        <w:tc>
          <w:tcPr>
            <w:tcW w:w="1926" w:type="dxa"/>
            <w:vMerge w:val="continue"/>
            <w:vAlign w:val="center"/>
          </w:tcPr>
          <w:p>
            <w:pPr>
              <w:spacing w:line="240" w:lineRule="auto"/>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spacing w:line="240" w:lineRule="auto"/>
              <w:jc w:val="center"/>
              <w:rPr>
                <w:szCs w:val="21"/>
              </w:rPr>
            </w:pPr>
          </w:p>
        </w:tc>
        <w:tc>
          <w:tcPr>
            <w:tcW w:w="425" w:type="dxa"/>
            <w:vMerge w:val="restart"/>
            <w:vAlign w:val="center"/>
          </w:tcPr>
          <w:p>
            <w:pPr>
              <w:spacing w:line="240" w:lineRule="auto"/>
              <w:jc w:val="center"/>
              <w:rPr>
                <w:szCs w:val="21"/>
              </w:rPr>
            </w:pPr>
            <w:r>
              <w:rPr>
                <w:rFonts w:hint="eastAsia"/>
                <w:szCs w:val="21"/>
              </w:rPr>
              <w:t>运营期</w:t>
            </w:r>
          </w:p>
        </w:tc>
        <w:tc>
          <w:tcPr>
            <w:tcW w:w="2552" w:type="dxa"/>
            <w:vAlign w:val="center"/>
          </w:tcPr>
          <w:p>
            <w:pPr>
              <w:spacing w:line="240" w:lineRule="auto"/>
              <w:jc w:val="center"/>
              <w:rPr>
                <w:szCs w:val="21"/>
              </w:rPr>
            </w:pPr>
            <w:r>
              <w:rPr>
                <w:rFonts w:hint="eastAsia"/>
                <w:szCs w:val="21"/>
              </w:rPr>
              <w:t>员工生活</w:t>
            </w:r>
          </w:p>
        </w:tc>
        <w:tc>
          <w:tcPr>
            <w:tcW w:w="1276" w:type="dxa"/>
            <w:vAlign w:val="center"/>
          </w:tcPr>
          <w:p>
            <w:pPr>
              <w:spacing w:line="240" w:lineRule="auto"/>
              <w:jc w:val="center"/>
              <w:rPr>
                <w:szCs w:val="21"/>
              </w:rPr>
            </w:pPr>
            <w:r>
              <w:rPr>
                <w:rFonts w:hint="eastAsia"/>
                <w:szCs w:val="21"/>
              </w:rPr>
              <w:t>生活垃圾</w:t>
            </w:r>
          </w:p>
        </w:tc>
        <w:tc>
          <w:tcPr>
            <w:tcW w:w="1617" w:type="dxa"/>
            <w:vAlign w:val="center"/>
          </w:tcPr>
          <w:p>
            <w:pPr>
              <w:spacing w:line="240" w:lineRule="auto"/>
              <w:jc w:val="center"/>
              <w:rPr>
                <w:szCs w:val="21"/>
              </w:rPr>
            </w:pPr>
            <w:r>
              <w:rPr>
                <w:rFonts w:hint="eastAsia"/>
                <w:szCs w:val="21"/>
              </w:rPr>
              <w:t>收集至垃圾转运站中集中处理</w:t>
            </w:r>
          </w:p>
        </w:tc>
        <w:tc>
          <w:tcPr>
            <w:tcW w:w="1926" w:type="dxa"/>
            <w:vAlign w:val="center"/>
          </w:tcPr>
          <w:p>
            <w:pPr>
              <w:pStyle w:val="105"/>
              <w:spacing w:line="240" w:lineRule="auto"/>
              <w:jc w:val="center"/>
              <w:textAlignment w:val="baseline"/>
              <w:rPr>
                <w:rFonts w:ascii="Times New Roman"/>
                <w:color w:val="auto"/>
                <w:sz w:val="21"/>
                <w:szCs w:val="21"/>
              </w:rPr>
            </w:pPr>
            <w:r>
              <w:rPr>
                <w:rFonts w:hint="eastAsia" w:ascii="Times New Roman"/>
                <w:color w:val="auto"/>
                <w:sz w:val="21"/>
                <w:szCs w:val="21"/>
              </w:rPr>
              <w:t>满足</w:t>
            </w:r>
            <w:r>
              <w:rPr>
                <w:rFonts w:ascii="Times New Roman"/>
                <w:color w:val="auto"/>
                <w:sz w:val="21"/>
                <w:szCs w:val="21"/>
              </w:rPr>
              <w:t>《一般工业固体废物贮存、处置场污染控制标准》</w:t>
            </w:r>
            <w:r>
              <w:rPr>
                <w:rFonts w:hint="eastAsia" w:ascii="Times New Roman"/>
                <w:color w:val="auto"/>
                <w:sz w:val="21"/>
                <w:szCs w:val="21"/>
              </w:rPr>
              <w:t>(</w:t>
            </w:r>
            <w:r>
              <w:rPr>
                <w:rFonts w:ascii="Times New Roman"/>
                <w:color w:val="auto"/>
                <w:sz w:val="21"/>
                <w:szCs w:val="21"/>
              </w:rPr>
              <w:t>GB18599-2001</w:t>
            </w:r>
            <w:r>
              <w:rPr>
                <w:rFonts w:hint="eastAsia" w:ascii="Times New Roman"/>
                <w:color w:val="auto"/>
                <w:sz w:val="21"/>
                <w:szCs w:val="21"/>
              </w:rPr>
              <w:t>)</w:t>
            </w:r>
            <w:r>
              <w:rPr>
                <w:rFonts w:ascii="Times New Roman"/>
                <w:color w:val="auto"/>
                <w:sz w:val="21"/>
                <w:szCs w:val="21"/>
              </w:rPr>
              <w:t>（及修改单）有关规定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spacing w:line="240" w:lineRule="auto"/>
              <w:jc w:val="center"/>
              <w:rPr>
                <w:szCs w:val="21"/>
              </w:rPr>
            </w:pPr>
          </w:p>
        </w:tc>
        <w:tc>
          <w:tcPr>
            <w:tcW w:w="425" w:type="dxa"/>
            <w:vMerge w:val="continue"/>
            <w:vAlign w:val="center"/>
          </w:tcPr>
          <w:p>
            <w:pPr>
              <w:spacing w:line="240" w:lineRule="auto"/>
              <w:jc w:val="center"/>
              <w:rPr>
                <w:szCs w:val="21"/>
              </w:rPr>
            </w:pPr>
          </w:p>
        </w:tc>
        <w:tc>
          <w:tcPr>
            <w:tcW w:w="2552" w:type="dxa"/>
            <w:vAlign w:val="center"/>
          </w:tcPr>
          <w:p>
            <w:pPr>
              <w:spacing w:line="240" w:lineRule="auto"/>
              <w:jc w:val="center"/>
              <w:rPr>
                <w:szCs w:val="21"/>
              </w:rPr>
            </w:pPr>
            <w:r>
              <w:rPr>
                <w:rFonts w:hint="eastAsia"/>
                <w:szCs w:val="21"/>
              </w:rPr>
              <w:t>污水收集池</w:t>
            </w:r>
          </w:p>
        </w:tc>
        <w:tc>
          <w:tcPr>
            <w:tcW w:w="1276" w:type="dxa"/>
            <w:vAlign w:val="center"/>
          </w:tcPr>
          <w:p>
            <w:pPr>
              <w:spacing w:line="240" w:lineRule="auto"/>
              <w:jc w:val="center"/>
              <w:rPr>
                <w:szCs w:val="21"/>
              </w:rPr>
            </w:pPr>
            <w:r>
              <w:rPr>
                <w:rFonts w:hint="eastAsia"/>
                <w:szCs w:val="21"/>
              </w:rPr>
              <w:t>污泥</w:t>
            </w:r>
          </w:p>
        </w:tc>
        <w:tc>
          <w:tcPr>
            <w:tcW w:w="1617" w:type="dxa"/>
            <w:vAlign w:val="center"/>
          </w:tcPr>
          <w:p>
            <w:pPr>
              <w:spacing w:line="240" w:lineRule="auto"/>
              <w:jc w:val="center"/>
              <w:rPr>
                <w:szCs w:val="21"/>
              </w:rPr>
            </w:pPr>
            <w:r>
              <w:rPr>
                <w:rFonts w:hint="eastAsia"/>
                <w:szCs w:val="21"/>
              </w:rPr>
              <w:t>委托专业公司定期清掏</w:t>
            </w:r>
          </w:p>
        </w:tc>
        <w:tc>
          <w:tcPr>
            <w:tcW w:w="1926" w:type="dxa"/>
            <w:vAlign w:val="center"/>
          </w:tcPr>
          <w:p>
            <w:pPr>
              <w:spacing w:line="240" w:lineRule="auto"/>
              <w:jc w:val="center"/>
              <w:rPr>
                <w:szCs w:val="21"/>
              </w:rPr>
            </w:pPr>
            <w:r>
              <w:rPr>
                <w:rFonts w:hint="eastAsia"/>
                <w:spacing w:val="11"/>
              </w:rPr>
              <w:t>遵</w:t>
            </w:r>
            <w:r>
              <w:rPr>
                <w:rFonts w:hint="eastAsia"/>
                <w:spacing w:val="14"/>
              </w:rPr>
              <w:t>从</w:t>
            </w:r>
            <w:r>
              <w:rPr>
                <w:rFonts w:hint="eastAsia"/>
                <w:spacing w:val="11"/>
              </w:rPr>
              <w:t>《</w:t>
            </w:r>
            <w:r>
              <w:rPr>
                <w:rFonts w:hint="eastAsia"/>
                <w:spacing w:val="14"/>
              </w:rPr>
              <w:t>危</w:t>
            </w:r>
            <w:r>
              <w:rPr>
                <w:rFonts w:hint="eastAsia"/>
                <w:spacing w:val="11"/>
              </w:rPr>
              <w:t>险</w:t>
            </w:r>
            <w:r>
              <w:rPr>
                <w:rFonts w:hint="eastAsia"/>
                <w:spacing w:val="14"/>
              </w:rPr>
              <w:t>废</w:t>
            </w:r>
            <w:r>
              <w:rPr>
                <w:rFonts w:hint="eastAsia"/>
                <w:spacing w:val="11"/>
              </w:rPr>
              <w:t>物</w:t>
            </w:r>
            <w:r>
              <w:rPr>
                <w:rFonts w:hint="eastAsia"/>
                <w:spacing w:val="14"/>
              </w:rPr>
              <w:t>转移</w:t>
            </w:r>
            <w:r>
              <w:rPr>
                <w:rFonts w:hint="eastAsia"/>
                <w:spacing w:val="11"/>
              </w:rPr>
              <w:t>联</w:t>
            </w:r>
            <w:r>
              <w:rPr>
                <w:rFonts w:hint="eastAsia"/>
                <w:spacing w:val="14"/>
              </w:rPr>
              <w:t>单</w:t>
            </w:r>
            <w:r>
              <w:rPr>
                <w:rFonts w:hint="eastAsia"/>
                <w:spacing w:val="11"/>
              </w:rPr>
              <w:t>管</w:t>
            </w:r>
            <w:r>
              <w:rPr>
                <w:rFonts w:hint="eastAsia"/>
                <w:spacing w:val="14"/>
              </w:rPr>
              <w:t>理</w:t>
            </w:r>
            <w:r>
              <w:rPr>
                <w:rFonts w:hint="eastAsia"/>
                <w:spacing w:val="11"/>
              </w:rPr>
              <w:t>办</w:t>
            </w:r>
            <w:r>
              <w:rPr>
                <w:rFonts w:hint="eastAsia"/>
                <w:spacing w:val="14"/>
              </w:rPr>
              <w:t>法</w:t>
            </w:r>
            <w:r>
              <w:rPr>
                <w:rFonts w:hint="eastAsia"/>
                <w:spacing w:val="11"/>
              </w:rPr>
              <w:t>》</w:t>
            </w:r>
            <w:r>
              <w:rPr>
                <w:rFonts w:hint="eastAsia"/>
                <w:spacing w:val="14"/>
              </w:rPr>
              <w:t>及其</w:t>
            </w:r>
            <w:r>
              <w:rPr>
                <w:rFonts w:hint="eastAsia"/>
                <w:spacing w:val="11"/>
              </w:rPr>
              <w:t>他</w:t>
            </w:r>
            <w:r>
              <w:rPr>
                <w:rFonts w:hint="eastAsia"/>
                <w:spacing w:val="14"/>
              </w:rPr>
              <w:t>有</w:t>
            </w:r>
            <w:r>
              <w:rPr>
                <w:rFonts w:hint="eastAsia"/>
                <w:spacing w:val="11"/>
              </w:rPr>
              <w:t>关</w:t>
            </w:r>
            <w:r>
              <w:rPr>
                <w:rFonts w:hint="eastAsia"/>
                <w:spacing w:val="14"/>
              </w:rPr>
              <w:t>规</w:t>
            </w:r>
            <w:r>
              <w:rPr>
                <w:rFonts w:hint="eastAsia"/>
                <w:spacing w:val="11"/>
              </w:rPr>
              <w:t>定</w:t>
            </w:r>
            <w:r>
              <w:rPr>
                <w:rFonts w:hint="eastAsia"/>
                <w:spacing w:val="14"/>
              </w:rPr>
              <w:t>的</w:t>
            </w:r>
            <w:r>
              <w:rPr>
                <w:rFonts w:hint="eastAsia"/>
                <w:spacing w:val="11"/>
              </w:rPr>
              <w:t>要</w:t>
            </w:r>
            <w:r>
              <w:rPr>
                <w:rFonts w:hint="eastAsia"/>
                <w:spacing w:val="14"/>
              </w:rPr>
              <w:t>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restart"/>
            <w:vAlign w:val="center"/>
          </w:tcPr>
          <w:p>
            <w:pPr>
              <w:spacing w:line="240" w:lineRule="auto"/>
              <w:ind w:left="113" w:right="113"/>
              <w:jc w:val="center"/>
              <w:rPr>
                <w:b/>
                <w:szCs w:val="21"/>
              </w:rPr>
            </w:pPr>
            <w:r>
              <w:rPr>
                <w:rFonts w:hint="eastAsia"/>
                <w:b/>
                <w:szCs w:val="21"/>
              </w:rPr>
              <w:t>噪声</w:t>
            </w:r>
          </w:p>
        </w:tc>
        <w:tc>
          <w:tcPr>
            <w:tcW w:w="425" w:type="dxa"/>
            <w:vAlign w:val="center"/>
          </w:tcPr>
          <w:p>
            <w:pPr>
              <w:spacing w:line="240" w:lineRule="auto"/>
              <w:jc w:val="center"/>
              <w:rPr>
                <w:szCs w:val="21"/>
              </w:rPr>
            </w:pPr>
            <w:r>
              <w:rPr>
                <w:rFonts w:hint="eastAsia"/>
                <w:szCs w:val="21"/>
              </w:rPr>
              <w:t>施工期</w:t>
            </w:r>
          </w:p>
        </w:tc>
        <w:tc>
          <w:tcPr>
            <w:tcW w:w="2552" w:type="dxa"/>
            <w:vAlign w:val="center"/>
          </w:tcPr>
          <w:p>
            <w:pPr>
              <w:spacing w:line="240" w:lineRule="auto"/>
              <w:jc w:val="center"/>
              <w:rPr>
                <w:szCs w:val="21"/>
              </w:rPr>
            </w:pPr>
            <w:r>
              <w:rPr>
                <w:rFonts w:hint="eastAsia"/>
                <w:szCs w:val="21"/>
              </w:rPr>
              <w:t>施工机械</w:t>
            </w:r>
          </w:p>
          <w:p>
            <w:pPr>
              <w:spacing w:line="240" w:lineRule="auto"/>
              <w:jc w:val="center"/>
              <w:rPr>
                <w:szCs w:val="21"/>
              </w:rPr>
            </w:pPr>
            <w:r>
              <w:rPr>
                <w:rFonts w:hint="eastAsia"/>
                <w:szCs w:val="21"/>
              </w:rPr>
              <w:t>运输车辆</w:t>
            </w:r>
          </w:p>
        </w:tc>
        <w:tc>
          <w:tcPr>
            <w:tcW w:w="1276" w:type="dxa"/>
            <w:vAlign w:val="center"/>
          </w:tcPr>
          <w:p>
            <w:pPr>
              <w:spacing w:line="240" w:lineRule="auto"/>
              <w:jc w:val="center"/>
              <w:rPr>
                <w:szCs w:val="21"/>
              </w:rPr>
            </w:pPr>
            <w:r>
              <w:rPr>
                <w:rFonts w:hint="eastAsia"/>
                <w:szCs w:val="21"/>
              </w:rPr>
              <w:t>机械噪声</w:t>
            </w:r>
          </w:p>
        </w:tc>
        <w:tc>
          <w:tcPr>
            <w:tcW w:w="1617" w:type="dxa"/>
            <w:vMerge w:val="restart"/>
            <w:vAlign w:val="center"/>
          </w:tcPr>
          <w:p>
            <w:pPr>
              <w:pStyle w:val="105"/>
              <w:spacing w:line="240" w:lineRule="auto"/>
              <w:jc w:val="center"/>
              <w:textAlignment w:val="baseline"/>
              <w:rPr>
                <w:rFonts w:ascii="Times New Roman"/>
                <w:color w:val="auto"/>
                <w:sz w:val="21"/>
                <w:szCs w:val="21"/>
              </w:rPr>
            </w:pPr>
            <w:r>
              <w:rPr>
                <w:rFonts w:hint="eastAsia" w:ascii="Times New Roman"/>
                <w:color w:val="auto"/>
                <w:sz w:val="21"/>
                <w:szCs w:val="21"/>
              </w:rPr>
              <w:t>合理安排工作时间、加强施工机械的维修、管理，在高噪声设备周围设置屏障。</w:t>
            </w:r>
          </w:p>
        </w:tc>
        <w:tc>
          <w:tcPr>
            <w:tcW w:w="1926" w:type="dxa"/>
            <w:vAlign w:val="center"/>
          </w:tcPr>
          <w:p>
            <w:pPr>
              <w:pStyle w:val="105"/>
              <w:spacing w:line="240" w:lineRule="auto"/>
              <w:jc w:val="center"/>
              <w:textAlignment w:val="baseline"/>
              <w:rPr>
                <w:rFonts w:ascii="Times New Roman"/>
                <w:color w:val="auto"/>
                <w:sz w:val="21"/>
                <w:szCs w:val="21"/>
              </w:rPr>
            </w:pPr>
            <w:r>
              <w:rPr>
                <w:rFonts w:hint="eastAsia" w:ascii="Times New Roman"/>
                <w:color w:val="auto"/>
                <w:sz w:val="21"/>
                <w:szCs w:val="21"/>
              </w:rPr>
              <w:t>《建设施工场界环境噪声排放标准》（</w:t>
            </w:r>
            <w:r>
              <w:rPr>
                <w:rFonts w:ascii="Times New Roman" w:cs="Times New Roman"/>
                <w:color w:val="auto"/>
                <w:sz w:val="21"/>
                <w:szCs w:val="21"/>
              </w:rPr>
              <w:t>GB12523-2011</w:t>
            </w:r>
            <w:r>
              <w:rPr>
                <w:rFonts w:hint="eastAsia" w:ascii="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pPr>
              <w:spacing w:line="240" w:lineRule="auto"/>
              <w:jc w:val="center"/>
              <w:rPr>
                <w:szCs w:val="21"/>
              </w:rPr>
            </w:pPr>
          </w:p>
        </w:tc>
        <w:tc>
          <w:tcPr>
            <w:tcW w:w="425" w:type="dxa"/>
            <w:vAlign w:val="center"/>
          </w:tcPr>
          <w:p>
            <w:pPr>
              <w:spacing w:line="240" w:lineRule="auto"/>
              <w:jc w:val="center"/>
              <w:rPr>
                <w:szCs w:val="21"/>
              </w:rPr>
            </w:pPr>
            <w:r>
              <w:rPr>
                <w:rFonts w:hint="eastAsia"/>
                <w:szCs w:val="21"/>
              </w:rPr>
              <w:t>运营期</w:t>
            </w:r>
          </w:p>
        </w:tc>
        <w:tc>
          <w:tcPr>
            <w:tcW w:w="2552" w:type="dxa"/>
            <w:vAlign w:val="center"/>
          </w:tcPr>
          <w:p>
            <w:pPr>
              <w:spacing w:line="240" w:lineRule="auto"/>
              <w:jc w:val="center"/>
              <w:rPr>
                <w:szCs w:val="21"/>
              </w:rPr>
            </w:pPr>
            <w:r>
              <w:rPr>
                <w:rFonts w:hint="eastAsia"/>
                <w:szCs w:val="21"/>
              </w:rPr>
              <w:t>机械设备</w:t>
            </w:r>
          </w:p>
        </w:tc>
        <w:tc>
          <w:tcPr>
            <w:tcW w:w="1276" w:type="dxa"/>
            <w:vAlign w:val="center"/>
          </w:tcPr>
          <w:p>
            <w:pPr>
              <w:spacing w:line="240" w:lineRule="auto"/>
              <w:jc w:val="center"/>
              <w:rPr>
                <w:szCs w:val="21"/>
              </w:rPr>
            </w:pPr>
            <w:r>
              <w:rPr>
                <w:rFonts w:hint="eastAsia"/>
                <w:szCs w:val="21"/>
              </w:rPr>
              <w:t>机械噪声</w:t>
            </w:r>
          </w:p>
        </w:tc>
        <w:tc>
          <w:tcPr>
            <w:tcW w:w="1617" w:type="dxa"/>
            <w:vMerge w:val="continue"/>
            <w:vAlign w:val="center"/>
          </w:tcPr>
          <w:p>
            <w:pPr>
              <w:pStyle w:val="105"/>
              <w:spacing w:line="240" w:lineRule="auto"/>
              <w:jc w:val="center"/>
              <w:textAlignment w:val="baseline"/>
              <w:rPr>
                <w:rFonts w:ascii="Times New Roman"/>
                <w:color w:val="auto"/>
                <w:sz w:val="21"/>
                <w:szCs w:val="21"/>
              </w:rPr>
            </w:pPr>
          </w:p>
        </w:tc>
        <w:tc>
          <w:tcPr>
            <w:tcW w:w="1926" w:type="dxa"/>
            <w:vAlign w:val="center"/>
          </w:tcPr>
          <w:p>
            <w:pPr>
              <w:pStyle w:val="105"/>
              <w:spacing w:line="240" w:lineRule="auto"/>
              <w:jc w:val="center"/>
              <w:textAlignment w:val="baseline"/>
              <w:rPr>
                <w:rFonts w:ascii="Times New Roman"/>
                <w:color w:val="auto"/>
                <w:sz w:val="21"/>
                <w:szCs w:val="21"/>
              </w:rPr>
            </w:pPr>
            <w:r>
              <w:rPr>
                <w:rFonts w:hint="eastAsia" w:ascii="Times New Roman"/>
                <w:color w:val="auto"/>
                <w:sz w:val="21"/>
                <w:szCs w:val="21"/>
              </w:rPr>
              <w:t>《工业企业厂界环境噪声排放标准》（</w:t>
            </w:r>
            <w:r>
              <w:rPr>
                <w:rFonts w:ascii="Times New Roman" w:cs="Times New Roman"/>
                <w:color w:val="auto"/>
                <w:sz w:val="21"/>
                <w:szCs w:val="21"/>
              </w:rPr>
              <w:t>GB12348-2008</w:t>
            </w:r>
            <w:r>
              <w:rPr>
                <w:rFonts w:hint="eastAsia" w:ascii="Times New Roman"/>
                <w:color w:val="auto"/>
                <w:sz w:val="21"/>
                <w:szCs w:val="21"/>
              </w:rPr>
              <w:t>）</w:t>
            </w:r>
            <w:r>
              <w:rPr>
                <w:rFonts w:ascii="Times New Roman" w:cs="Times New Roman"/>
                <w:color w:val="auto"/>
                <w:sz w:val="21"/>
                <w:szCs w:val="21"/>
              </w:rPr>
              <w:t>3</w:t>
            </w:r>
            <w:r>
              <w:rPr>
                <w:rFonts w:hint="eastAsia" w:ascii="Times New Roman"/>
                <w:color w:val="auto"/>
                <w:sz w:val="21"/>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spacing w:line="240" w:lineRule="auto"/>
              <w:jc w:val="center"/>
              <w:rPr>
                <w:b/>
                <w:szCs w:val="21"/>
              </w:rPr>
            </w:pPr>
            <w:r>
              <w:rPr>
                <w:rFonts w:hint="eastAsia"/>
                <w:b/>
                <w:szCs w:val="21"/>
              </w:rPr>
              <w:t>其他</w:t>
            </w:r>
          </w:p>
        </w:tc>
        <w:tc>
          <w:tcPr>
            <w:tcW w:w="7796" w:type="dxa"/>
            <w:gridSpan w:val="5"/>
            <w:vAlign w:val="center"/>
          </w:tcPr>
          <w:p>
            <w:pPr>
              <w:spacing w:line="240" w:lineRule="auto"/>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8500" w:type="dxa"/>
            <w:gridSpan w:val="6"/>
            <w:vAlign w:val="center"/>
          </w:tcPr>
          <w:p>
            <w:pPr>
              <w:pStyle w:val="105"/>
              <w:spacing w:line="240" w:lineRule="auto"/>
              <w:jc w:val="left"/>
              <w:textAlignment w:val="baseline"/>
              <w:rPr>
                <w:rFonts w:ascii="Times New Roman"/>
                <w:b/>
                <w:color w:val="auto"/>
                <w:sz w:val="21"/>
                <w:szCs w:val="21"/>
              </w:rPr>
            </w:pPr>
            <w:r>
              <w:rPr>
                <w:rFonts w:hint="eastAsia" w:ascii="Times New Roman"/>
                <w:b/>
                <w:color w:val="auto"/>
                <w:sz w:val="21"/>
                <w:szCs w:val="21"/>
              </w:rPr>
              <w:t>生态保护措施及预期效果</w:t>
            </w:r>
          </w:p>
          <w:p>
            <w:pPr>
              <w:pStyle w:val="105"/>
              <w:spacing w:line="240" w:lineRule="auto"/>
              <w:ind w:firstLine="420" w:firstLineChars="200"/>
              <w:jc w:val="left"/>
              <w:textAlignment w:val="baseline"/>
              <w:rPr>
                <w:rFonts w:ascii="Times New Roman"/>
                <w:color w:val="auto"/>
                <w:sz w:val="21"/>
                <w:szCs w:val="21"/>
              </w:rPr>
            </w:pPr>
            <w:r>
              <w:rPr>
                <w:rFonts w:hint="eastAsia" w:ascii="Times New Roman"/>
                <w:color w:val="auto"/>
                <w:sz w:val="21"/>
                <w:szCs w:val="21"/>
              </w:rPr>
              <w:t>施工期：</w:t>
            </w:r>
          </w:p>
          <w:p>
            <w:pPr>
              <w:pStyle w:val="105"/>
              <w:spacing w:line="240" w:lineRule="auto"/>
              <w:ind w:firstLine="420" w:firstLineChars="200"/>
              <w:jc w:val="left"/>
              <w:textAlignment w:val="baseline"/>
              <w:rPr>
                <w:rFonts w:ascii="Times New Roman"/>
                <w:color w:val="auto"/>
                <w:sz w:val="21"/>
                <w:szCs w:val="21"/>
              </w:rPr>
            </w:pPr>
            <w:r>
              <w:rPr>
                <w:rFonts w:ascii="Times New Roman" w:cs="Times New Roman"/>
                <w:color w:val="auto"/>
                <w:sz w:val="21"/>
                <w:szCs w:val="21"/>
              </w:rPr>
              <w:t>1</w:t>
            </w:r>
            <w:r>
              <w:rPr>
                <w:rFonts w:hint="eastAsia" w:ascii="Times New Roman"/>
                <w:color w:val="auto"/>
                <w:sz w:val="21"/>
                <w:szCs w:val="21"/>
              </w:rPr>
              <w:t>、建设期要建立临时的沉砂池、施工场地内开挖排水沟、及时夯实土地、建立临时的围墙等措施，严禁将生活污水、施工泥浆水引入附近地表水体；</w:t>
            </w:r>
          </w:p>
          <w:p>
            <w:pPr>
              <w:pStyle w:val="105"/>
              <w:spacing w:line="240" w:lineRule="auto"/>
              <w:ind w:firstLine="420" w:firstLineChars="200"/>
              <w:jc w:val="left"/>
              <w:textAlignment w:val="baseline"/>
              <w:rPr>
                <w:rFonts w:ascii="Times New Roman"/>
                <w:color w:val="auto"/>
                <w:sz w:val="21"/>
                <w:szCs w:val="21"/>
              </w:rPr>
            </w:pPr>
            <w:r>
              <w:rPr>
                <w:rFonts w:ascii="Times New Roman" w:cs="Times New Roman"/>
                <w:color w:val="auto"/>
                <w:sz w:val="21"/>
                <w:szCs w:val="21"/>
              </w:rPr>
              <w:t>2</w:t>
            </w:r>
            <w:r>
              <w:rPr>
                <w:rFonts w:hint="eastAsia" w:ascii="Times New Roman"/>
                <w:color w:val="auto"/>
                <w:sz w:val="21"/>
                <w:szCs w:val="21"/>
              </w:rPr>
              <w:t>、建设过程产生的弃土、建筑废材料、生活垃圾严禁转移到绿化中，污染其周边的植被、生物；</w:t>
            </w:r>
          </w:p>
          <w:p>
            <w:pPr>
              <w:pStyle w:val="105"/>
              <w:spacing w:line="240" w:lineRule="auto"/>
              <w:ind w:firstLine="420" w:firstLineChars="200"/>
              <w:jc w:val="left"/>
              <w:textAlignment w:val="baseline"/>
              <w:rPr>
                <w:rFonts w:ascii="Times New Roman"/>
                <w:color w:val="auto"/>
                <w:sz w:val="21"/>
                <w:szCs w:val="21"/>
              </w:rPr>
            </w:pPr>
            <w:r>
              <w:rPr>
                <w:rFonts w:ascii="Times New Roman" w:cs="Times New Roman"/>
                <w:color w:val="auto"/>
                <w:sz w:val="21"/>
                <w:szCs w:val="21"/>
              </w:rPr>
              <w:t>3</w:t>
            </w:r>
            <w:r>
              <w:rPr>
                <w:rFonts w:hint="eastAsia" w:ascii="Times New Roman"/>
                <w:color w:val="auto"/>
                <w:sz w:val="21"/>
                <w:szCs w:val="21"/>
              </w:rPr>
              <w:t>、项目建成后，建议多种灌木或乔木，以满足生态补偿。</w:t>
            </w:r>
          </w:p>
          <w:p>
            <w:pPr>
              <w:pStyle w:val="105"/>
              <w:spacing w:line="240" w:lineRule="auto"/>
              <w:ind w:firstLine="420" w:firstLineChars="200"/>
              <w:jc w:val="left"/>
              <w:textAlignment w:val="baseline"/>
              <w:rPr>
                <w:rFonts w:ascii="Times New Roman"/>
                <w:color w:val="auto"/>
                <w:sz w:val="21"/>
                <w:szCs w:val="21"/>
              </w:rPr>
            </w:pPr>
            <w:r>
              <w:rPr>
                <w:rFonts w:hint="eastAsia" w:ascii="Times New Roman"/>
                <w:color w:val="auto"/>
                <w:sz w:val="21"/>
                <w:szCs w:val="21"/>
              </w:rPr>
              <w:t>营运期：</w:t>
            </w:r>
          </w:p>
          <w:p>
            <w:pPr>
              <w:pStyle w:val="105"/>
              <w:spacing w:line="240" w:lineRule="auto"/>
              <w:ind w:firstLine="420" w:firstLineChars="200"/>
              <w:jc w:val="left"/>
              <w:textAlignment w:val="baseline"/>
              <w:rPr>
                <w:rFonts w:ascii="Times New Roman"/>
                <w:color w:val="auto"/>
                <w:sz w:val="21"/>
                <w:szCs w:val="21"/>
              </w:rPr>
            </w:pPr>
            <w:r>
              <w:rPr>
                <w:rFonts w:ascii="Times New Roman" w:cs="Times New Roman"/>
                <w:color w:val="auto"/>
                <w:sz w:val="21"/>
                <w:szCs w:val="21"/>
              </w:rPr>
              <w:t>1</w:t>
            </w:r>
            <w:r>
              <w:rPr>
                <w:rFonts w:hint="eastAsia" w:ascii="Times New Roman"/>
                <w:color w:val="auto"/>
                <w:sz w:val="21"/>
                <w:szCs w:val="21"/>
              </w:rPr>
              <w:t>、做好外排水的治理达标排放工作，确保外排水均经有效处理后再外排，减少其对周围水域水生态环境的影响。</w:t>
            </w:r>
          </w:p>
          <w:p>
            <w:pPr>
              <w:pStyle w:val="105"/>
              <w:spacing w:line="240" w:lineRule="auto"/>
              <w:ind w:firstLine="420" w:firstLineChars="200"/>
              <w:jc w:val="left"/>
              <w:textAlignment w:val="baseline"/>
              <w:rPr>
                <w:rFonts w:ascii="Times New Roman"/>
                <w:color w:val="auto"/>
                <w:sz w:val="21"/>
                <w:szCs w:val="21"/>
              </w:rPr>
            </w:pPr>
            <w:r>
              <w:rPr>
                <w:rFonts w:ascii="Times New Roman" w:cs="Times New Roman"/>
                <w:color w:val="auto"/>
                <w:sz w:val="21"/>
                <w:szCs w:val="21"/>
              </w:rPr>
              <w:t>2</w:t>
            </w:r>
            <w:r>
              <w:rPr>
                <w:rFonts w:hint="eastAsia" w:ascii="Times New Roman"/>
                <w:color w:val="auto"/>
                <w:sz w:val="21"/>
                <w:szCs w:val="21"/>
              </w:rPr>
              <w:t>、妥善处置固废，杜绝二次污染。</w:t>
            </w:r>
          </w:p>
          <w:p>
            <w:pPr>
              <w:pStyle w:val="105"/>
              <w:spacing w:line="240" w:lineRule="auto"/>
              <w:ind w:firstLine="420" w:firstLineChars="200"/>
              <w:jc w:val="left"/>
              <w:textAlignment w:val="baseline"/>
              <w:rPr>
                <w:rFonts w:ascii="Times New Roman"/>
                <w:color w:val="auto"/>
                <w:sz w:val="21"/>
                <w:szCs w:val="21"/>
              </w:rPr>
            </w:pPr>
            <w:r>
              <w:rPr>
                <w:rFonts w:ascii="Times New Roman" w:cs="Times New Roman"/>
                <w:color w:val="auto"/>
                <w:sz w:val="21"/>
                <w:szCs w:val="21"/>
              </w:rPr>
              <w:t>3</w:t>
            </w:r>
            <w:r>
              <w:rPr>
                <w:rFonts w:hint="eastAsia" w:ascii="Times New Roman"/>
                <w:color w:val="auto"/>
                <w:sz w:val="21"/>
                <w:szCs w:val="21"/>
              </w:rPr>
              <w:t>、及时对场地进行绿化，采取各种隔声、消声、减震等措施降低各类处理设备的噪声；减少转运过程中噪声对周围环境的影响。</w:t>
            </w:r>
          </w:p>
          <w:p>
            <w:pPr>
              <w:spacing w:line="240" w:lineRule="auto"/>
              <w:ind w:firstLine="420" w:firstLineChars="200"/>
              <w:jc w:val="left"/>
              <w:rPr>
                <w:szCs w:val="21"/>
              </w:rPr>
            </w:pPr>
            <w:r>
              <w:rPr>
                <w:szCs w:val="21"/>
              </w:rPr>
              <w:t>4</w:t>
            </w:r>
            <w:r>
              <w:rPr>
                <w:rFonts w:hint="eastAsia"/>
                <w:szCs w:val="21"/>
              </w:rPr>
              <w:t>、落实恶臭的治理措施，减少对周围环境的影响。</w:t>
            </w:r>
          </w:p>
        </w:tc>
      </w:tr>
    </w:tbl>
    <w:p>
      <w:pPr>
        <w:widowControl/>
        <w:adjustRightInd/>
        <w:spacing w:line="360" w:lineRule="auto"/>
        <w:jc w:val="left"/>
        <w:textAlignment w:val="auto"/>
        <w:rPr>
          <w:b/>
          <w:bCs/>
          <w:kern w:val="2"/>
          <w:sz w:val="24"/>
          <w:szCs w:val="24"/>
        </w:rPr>
        <w:sectPr>
          <w:footerReference r:id="rId6" w:type="default"/>
          <w:pgSz w:w="11906" w:h="16838"/>
          <w:pgMar w:top="1440" w:right="1800" w:bottom="1440" w:left="1800" w:header="851" w:footer="992" w:gutter="0"/>
          <w:cols w:space="720" w:num="1"/>
          <w:docGrid w:type="lines" w:linePitch="312" w:charSpace="0"/>
        </w:sectPr>
      </w:pPr>
    </w:p>
    <w:p>
      <w:pPr>
        <w:spacing w:line="360" w:lineRule="auto"/>
        <w:outlineLvl w:val="0"/>
        <w:rPr>
          <w:b/>
          <w:bCs/>
          <w:sz w:val="24"/>
          <w:szCs w:val="24"/>
        </w:rPr>
      </w:pPr>
      <w:r>
        <w:rPr>
          <w:b/>
          <w:bCs/>
          <w:sz w:val="24"/>
          <w:szCs w:val="24"/>
        </w:rPr>
        <w:t>结论与建议</w:t>
      </w:r>
    </w:p>
    <w:tbl>
      <w:tblPr>
        <w:tblStyle w:val="27"/>
        <w:tblW w:w="91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173" w:hRule="atLeast"/>
          <w:jc w:val="center"/>
        </w:trPr>
        <w:tc>
          <w:tcPr>
            <w:tcW w:w="8891" w:type="dxa"/>
          </w:tcPr>
          <w:p>
            <w:pPr>
              <w:adjustRightInd/>
              <w:spacing w:line="360" w:lineRule="auto"/>
              <w:ind w:firstLine="482" w:firstLineChars="200"/>
              <w:textAlignment w:val="auto"/>
              <w:rPr>
                <w:b/>
                <w:bCs/>
                <w:kern w:val="2"/>
                <w:sz w:val="24"/>
                <w:szCs w:val="24"/>
              </w:rPr>
            </w:pPr>
            <w:r>
              <w:rPr>
                <w:b/>
                <w:bCs/>
                <w:kern w:val="2"/>
                <w:sz w:val="24"/>
                <w:szCs w:val="24"/>
              </w:rPr>
              <w:t>一、结论</w:t>
            </w:r>
          </w:p>
          <w:p>
            <w:pPr>
              <w:spacing w:line="360" w:lineRule="auto"/>
              <w:ind w:firstLine="482" w:firstLineChars="200"/>
              <w:outlineLvl w:val="0"/>
              <w:rPr>
                <w:b/>
                <w:bCs/>
                <w:sz w:val="24"/>
                <w:szCs w:val="24"/>
              </w:rPr>
            </w:pPr>
            <w:bookmarkStart w:id="18" w:name="_Toc183231265"/>
            <w:r>
              <w:rPr>
                <w:b/>
                <w:bCs/>
                <w:sz w:val="24"/>
                <w:szCs w:val="24"/>
              </w:rPr>
              <w:t>1、建设项目</w:t>
            </w:r>
            <w:r>
              <w:rPr>
                <w:rFonts w:hint="eastAsia"/>
                <w:b/>
                <w:bCs/>
                <w:sz w:val="24"/>
                <w:szCs w:val="24"/>
              </w:rPr>
              <w:t>概况</w:t>
            </w:r>
          </w:p>
          <w:p>
            <w:pPr>
              <w:spacing w:line="360" w:lineRule="auto"/>
              <w:ind w:firstLine="480" w:firstLineChars="200"/>
              <w:rPr>
                <w:rFonts w:hint="eastAsia" w:eastAsia="宋体"/>
                <w:bCs/>
                <w:kern w:val="2"/>
                <w:sz w:val="24"/>
                <w:szCs w:val="24"/>
                <w:lang w:eastAsia="zh-CN"/>
              </w:rPr>
            </w:pPr>
            <w:r>
              <w:rPr>
                <w:bCs/>
                <w:kern w:val="2"/>
                <w:sz w:val="24"/>
                <w:szCs w:val="24"/>
              </w:rPr>
              <w:t>项目名称：</w:t>
            </w:r>
            <w:r>
              <w:rPr>
                <w:rFonts w:hint="eastAsia"/>
                <w:sz w:val="24"/>
                <w:szCs w:val="24"/>
                <w:lang w:eastAsia="zh-CN"/>
              </w:rPr>
              <w:t>承德市鹰手营子矿区生活垃圾中转站工程项目</w:t>
            </w:r>
          </w:p>
          <w:p>
            <w:pPr>
              <w:spacing w:line="360" w:lineRule="auto"/>
              <w:ind w:firstLine="480" w:firstLineChars="200"/>
              <w:rPr>
                <w:sz w:val="24"/>
                <w:szCs w:val="24"/>
              </w:rPr>
            </w:pPr>
            <w:r>
              <w:rPr>
                <w:bCs/>
                <w:kern w:val="2"/>
                <w:sz w:val="24"/>
                <w:szCs w:val="24"/>
              </w:rPr>
              <w:t>建设单位：</w:t>
            </w:r>
            <w:r>
              <w:rPr>
                <w:rFonts w:hint="eastAsia"/>
                <w:sz w:val="24"/>
                <w:szCs w:val="24"/>
              </w:rPr>
              <w:t>承德市鹰手营子矿区利民环卫清洁有限责任公司</w:t>
            </w:r>
          </w:p>
          <w:p>
            <w:pPr>
              <w:spacing w:line="360" w:lineRule="auto"/>
              <w:ind w:firstLine="480" w:firstLineChars="200"/>
              <w:rPr>
                <w:bCs/>
                <w:kern w:val="2"/>
                <w:sz w:val="24"/>
                <w:szCs w:val="24"/>
              </w:rPr>
            </w:pPr>
            <w:r>
              <w:rPr>
                <w:bCs/>
                <w:kern w:val="2"/>
                <w:sz w:val="24"/>
                <w:szCs w:val="24"/>
              </w:rPr>
              <w:t>建设性质：</w:t>
            </w:r>
            <w:r>
              <w:rPr>
                <w:rFonts w:hint="eastAsia"/>
                <w:bCs/>
                <w:kern w:val="2"/>
                <w:sz w:val="24"/>
                <w:szCs w:val="24"/>
              </w:rPr>
              <w:t>新</w:t>
            </w:r>
            <w:r>
              <w:rPr>
                <w:bCs/>
                <w:kern w:val="2"/>
                <w:sz w:val="24"/>
                <w:szCs w:val="24"/>
              </w:rPr>
              <w:t>建</w:t>
            </w:r>
          </w:p>
          <w:p>
            <w:pPr>
              <w:spacing w:line="360" w:lineRule="auto"/>
              <w:ind w:firstLine="480" w:firstLineChars="200"/>
              <w:rPr>
                <w:sz w:val="24"/>
                <w:szCs w:val="24"/>
              </w:rPr>
            </w:pPr>
            <w:r>
              <w:rPr>
                <w:rFonts w:hint="eastAsia"/>
                <w:bCs/>
                <w:sz w:val="24"/>
              </w:rPr>
              <w:t>建设地点：本项目位于承德市鹰手营子矿区，于主城区及寿王坟镇分布建设一座垃圾转运站。主城区垃圾转运站中心坐标为：</w:t>
            </w:r>
            <w:r>
              <w:rPr>
                <w:rFonts w:hint="eastAsia"/>
                <w:sz w:val="24"/>
                <w:szCs w:val="24"/>
              </w:rPr>
              <w:t>北纬：</w:t>
            </w:r>
            <w:r>
              <w:rPr>
                <w:rFonts w:hint="eastAsia"/>
                <w:sz w:val="24"/>
              </w:rPr>
              <w:t>40</w:t>
            </w:r>
            <w:r>
              <w:rPr>
                <w:sz w:val="24"/>
              </w:rPr>
              <w:t>°</w:t>
            </w:r>
            <w:r>
              <w:rPr>
                <w:rFonts w:hint="eastAsia"/>
                <w:sz w:val="24"/>
              </w:rPr>
              <w:t>32</w:t>
            </w:r>
            <w:r>
              <w:rPr>
                <w:sz w:val="24"/>
              </w:rPr>
              <w:t>′</w:t>
            </w:r>
            <w:r>
              <w:rPr>
                <w:rFonts w:hint="eastAsia"/>
                <w:sz w:val="24"/>
              </w:rPr>
              <w:t>24</w:t>
            </w:r>
            <w:r>
              <w:rPr>
                <w:sz w:val="24"/>
              </w:rPr>
              <w:t>″</w:t>
            </w:r>
            <w:r>
              <w:rPr>
                <w:rFonts w:hint="eastAsia"/>
                <w:sz w:val="24"/>
                <w:szCs w:val="24"/>
              </w:rPr>
              <w:t>、东经：</w:t>
            </w:r>
            <w:r>
              <w:rPr>
                <w:rFonts w:hint="eastAsia"/>
                <w:sz w:val="24"/>
              </w:rPr>
              <w:t>117</w:t>
            </w:r>
            <w:r>
              <w:rPr>
                <w:sz w:val="24"/>
              </w:rPr>
              <w:t>°</w:t>
            </w:r>
            <w:r>
              <w:rPr>
                <w:rFonts w:hint="eastAsia"/>
                <w:sz w:val="24"/>
              </w:rPr>
              <w:t>41</w:t>
            </w:r>
            <w:r>
              <w:rPr>
                <w:sz w:val="24"/>
              </w:rPr>
              <w:t>′</w:t>
            </w:r>
            <w:r>
              <w:rPr>
                <w:rFonts w:hint="eastAsia"/>
                <w:sz w:val="24"/>
              </w:rPr>
              <w:t>24</w:t>
            </w:r>
            <w:r>
              <w:rPr>
                <w:sz w:val="24"/>
              </w:rPr>
              <w:t>″</w:t>
            </w:r>
            <w:r>
              <w:rPr>
                <w:rFonts w:hint="eastAsia"/>
                <w:sz w:val="24"/>
                <w:szCs w:val="24"/>
              </w:rPr>
              <w:t>，位于</w:t>
            </w:r>
            <w:r>
              <w:rPr>
                <w:sz w:val="24"/>
                <w:szCs w:val="24"/>
              </w:rPr>
              <w:t>主城区以东3公里、距村庄约1公里、距柳河约1公里</w:t>
            </w:r>
            <w:r>
              <w:rPr>
                <w:rFonts w:hint="eastAsia"/>
                <w:sz w:val="24"/>
                <w:szCs w:val="24"/>
              </w:rPr>
              <w:t>；寿王坟镇</w:t>
            </w:r>
            <w:r>
              <w:rPr>
                <w:rFonts w:hint="eastAsia"/>
                <w:bCs/>
                <w:sz w:val="24"/>
              </w:rPr>
              <w:t>垃圾转运站中心坐标为：</w:t>
            </w:r>
            <w:r>
              <w:rPr>
                <w:rFonts w:hint="eastAsia"/>
                <w:sz w:val="24"/>
                <w:szCs w:val="24"/>
              </w:rPr>
              <w:t>北纬：</w:t>
            </w:r>
            <w:r>
              <w:rPr>
                <w:rFonts w:hint="eastAsia"/>
                <w:sz w:val="24"/>
              </w:rPr>
              <w:t>40</w:t>
            </w:r>
            <w:r>
              <w:rPr>
                <w:sz w:val="24"/>
              </w:rPr>
              <w:t>°</w:t>
            </w:r>
            <w:r>
              <w:rPr>
                <w:rFonts w:hint="eastAsia"/>
                <w:sz w:val="24"/>
              </w:rPr>
              <w:t>36</w:t>
            </w:r>
            <w:r>
              <w:rPr>
                <w:sz w:val="24"/>
              </w:rPr>
              <w:t>′</w:t>
            </w:r>
            <w:r>
              <w:rPr>
                <w:rFonts w:hint="eastAsia"/>
                <w:sz w:val="24"/>
              </w:rPr>
              <w:t>00</w:t>
            </w:r>
            <w:r>
              <w:rPr>
                <w:sz w:val="24"/>
              </w:rPr>
              <w:t>″</w:t>
            </w:r>
            <w:r>
              <w:rPr>
                <w:rFonts w:hint="eastAsia"/>
                <w:sz w:val="24"/>
                <w:szCs w:val="24"/>
              </w:rPr>
              <w:t>、东经：</w:t>
            </w:r>
            <w:r>
              <w:rPr>
                <w:rFonts w:hint="eastAsia"/>
                <w:sz w:val="24"/>
              </w:rPr>
              <w:t>117</w:t>
            </w:r>
            <w:r>
              <w:rPr>
                <w:sz w:val="24"/>
              </w:rPr>
              <w:t>°</w:t>
            </w:r>
            <w:r>
              <w:rPr>
                <w:rFonts w:hint="eastAsia"/>
                <w:sz w:val="24"/>
              </w:rPr>
              <w:t>46</w:t>
            </w:r>
            <w:r>
              <w:rPr>
                <w:sz w:val="24"/>
              </w:rPr>
              <w:t>′</w:t>
            </w:r>
            <w:r>
              <w:rPr>
                <w:rFonts w:hint="eastAsia"/>
                <w:sz w:val="24"/>
              </w:rPr>
              <w:t>12</w:t>
            </w:r>
            <w:r>
              <w:rPr>
                <w:sz w:val="24"/>
              </w:rPr>
              <w:t>″</w:t>
            </w:r>
            <w:r>
              <w:rPr>
                <w:rFonts w:hint="eastAsia"/>
                <w:sz w:val="24"/>
                <w:szCs w:val="24"/>
              </w:rPr>
              <w:t>，位于</w:t>
            </w:r>
            <w:r>
              <w:rPr>
                <w:sz w:val="24"/>
                <w:szCs w:val="24"/>
              </w:rPr>
              <w:t>寿王坟镇污水处理厂</w:t>
            </w:r>
            <w:r>
              <w:rPr>
                <w:rFonts w:hint="eastAsia"/>
                <w:sz w:val="24"/>
                <w:szCs w:val="24"/>
              </w:rPr>
              <w:t>西侧3</w:t>
            </w:r>
            <w:r>
              <w:rPr>
                <w:sz w:val="24"/>
                <w:szCs w:val="24"/>
              </w:rPr>
              <w:t>0</w:t>
            </w:r>
            <w:r>
              <w:rPr>
                <w:rFonts w:hint="eastAsia"/>
                <w:sz w:val="24"/>
                <w:szCs w:val="24"/>
              </w:rPr>
              <w:t>m。</w:t>
            </w:r>
            <w:r>
              <w:rPr>
                <w:sz w:val="24"/>
                <w:szCs w:val="24"/>
              </w:rPr>
              <w:t>本项目厂区周围无自然保护区、风景游览区、名胜古迹、生活饮用水源地及其他需要特别保护的敏感目标。</w:t>
            </w:r>
          </w:p>
          <w:p>
            <w:pPr>
              <w:spacing w:line="360" w:lineRule="auto"/>
              <w:ind w:firstLine="480" w:firstLineChars="200"/>
              <w:rPr>
                <w:bCs/>
                <w:kern w:val="2"/>
                <w:sz w:val="24"/>
                <w:szCs w:val="24"/>
              </w:rPr>
            </w:pPr>
            <w:r>
              <w:rPr>
                <w:rFonts w:hint="eastAsia"/>
                <w:sz w:val="24"/>
                <w:szCs w:val="24"/>
              </w:rPr>
              <w:t>项目投资：</w:t>
            </w:r>
            <w:r>
              <w:rPr>
                <w:sz w:val="24"/>
                <w:szCs w:val="24"/>
              </w:rPr>
              <w:t>项目</w:t>
            </w:r>
            <w:r>
              <w:rPr>
                <w:rFonts w:hint="eastAsia"/>
                <w:sz w:val="24"/>
                <w:szCs w:val="24"/>
              </w:rPr>
              <w:t>总投资为2571.9万元，环保投资1</w:t>
            </w:r>
            <w:r>
              <w:rPr>
                <w:sz w:val="24"/>
                <w:szCs w:val="24"/>
              </w:rPr>
              <w:t>08</w:t>
            </w:r>
            <w:r>
              <w:rPr>
                <w:rFonts w:hint="eastAsia"/>
                <w:sz w:val="24"/>
                <w:szCs w:val="24"/>
              </w:rPr>
              <w:t>万元，</w:t>
            </w:r>
            <w:r>
              <w:rPr>
                <w:sz w:val="24"/>
                <w:szCs w:val="24"/>
              </w:rPr>
              <w:t>环保投资占总投资比例</w:t>
            </w:r>
            <w:r>
              <w:rPr>
                <w:rFonts w:hint="eastAsia"/>
                <w:sz w:val="24"/>
                <w:szCs w:val="24"/>
              </w:rPr>
              <w:t>4</w:t>
            </w:r>
            <w:r>
              <w:rPr>
                <w:sz w:val="24"/>
                <w:szCs w:val="24"/>
              </w:rPr>
              <w:t>.2</w:t>
            </w:r>
            <w:r>
              <w:rPr>
                <w:rFonts w:hint="eastAsia"/>
                <w:sz w:val="24"/>
                <w:szCs w:val="24"/>
              </w:rPr>
              <w:t>%。</w:t>
            </w:r>
          </w:p>
          <w:p>
            <w:pPr>
              <w:spacing w:line="360" w:lineRule="auto"/>
              <w:ind w:firstLine="480" w:firstLineChars="200"/>
              <w:rPr>
                <w:sz w:val="24"/>
                <w:szCs w:val="24"/>
              </w:rPr>
            </w:pPr>
            <w:r>
              <w:rPr>
                <w:bCs/>
                <w:kern w:val="2"/>
                <w:sz w:val="24"/>
                <w:szCs w:val="24"/>
              </w:rPr>
              <w:t>建设内容</w:t>
            </w:r>
            <w:r>
              <w:rPr>
                <w:rFonts w:hint="eastAsia"/>
                <w:bCs/>
                <w:kern w:val="2"/>
                <w:sz w:val="24"/>
                <w:szCs w:val="24"/>
              </w:rPr>
              <w:t>及规模</w:t>
            </w:r>
            <w:r>
              <w:rPr>
                <w:bCs/>
                <w:kern w:val="2"/>
                <w:sz w:val="24"/>
                <w:szCs w:val="24"/>
              </w:rPr>
              <w:t>：</w:t>
            </w:r>
            <w:r>
              <w:rPr>
                <w:rFonts w:hint="eastAsia"/>
                <w:sz w:val="24"/>
                <w:szCs w:val="24"/>
              </w:rPr>
              <w:t>承德市鹰手营子矿区主城区建设规模为120t/d垃圾转运站，寿王坟镇建设规模为20t/d垃圾转运站</w:t>
            </w:r>
          </w:p>
          <w:bookmarkEnd w:id="18"/>
          <w:p>
            <w:pPr>
              <w:pStyle w:val="84"/>
              <w:spacing w:line="360" w:lineRule="auto"/>
              <w:ind w:left="420" w:firstLine="0" w:firstLineChars="0"/>
              <w:outlineLvl w:val="0"/>
              <w:rPr>
                <w:b/>
                <w:bCs/>
                <w:sz w:val="24"/>
                <w:szCs w:val="24"/>
              </w:rPr>
            </w:pPr>
            <w:bookmarkStart w:id="19" w:name="_Toc183231277"/>
            <w:r>
              <w:rPr>
                <w:b/>
                <w:bCs/>
                <w:sz w:val="24"/>
                <w:szCs w:val="24"/>
              </w:rPr>
              <w:t>2、</w:t>
            </w:r>
            <w:r>
              <w:rPr>
                <w:rFonts w:hint="eastAsia"/>
                <w:b/>
                <w:bCs/>
                <w:sz w:val="24"/>
                <w:szCs w:val="24"/>
              </w:rPr>
              <w:t>区域环境质量现状</w:t>
            </w:r>
          </w:p>
          <w:p>
            <w:pPr>
              <w:spacing w:line="360" w:lineRule="auto"/>
              <w:ind w:firstLine="480" w:firstLineChars="200"/>
              <w:rPr>
                <w:sz w:val="24"/>
                <w:szCs w:val="24"/>
              </w:rPr>
            </w:pPr>
            <w:r>
              <w:rPr>
                <w:sz w:val="24"/>
                <w:szCs w:val="24"/>
              </w:rPr>
              <w:t>（一）</w:t>
            </w:r>
            <w:r>
              <w:rPr>
                <w:rFonts w:hint="eastAsia"/>
                <w:sz w:val="24"/>
                <w:szCs w:val="24"/>
              </w:rPr>
              <w:t>环境空气质量现状</w:t>
            </w:r>
          </w:p>
          <w:p>
            <w:pPr>
              <w:autoSpaceDE w:val="0"/>
              <w:autoSpaceDN w:val="0"/>
              <w:spacing w:line="360" w:lineRule="auto"/>
              <w:ind w:firstLine="480" w:firstLineChars="200"/>
              <w:jc w:val="left"/>
              <w:textAlignment w:val="auto"/>
              <w:rPr>
                <w:rFonts w:cs="宋体"/>
                <w:sz w:val="24"/>
                <w:szCs w:val="24"/>
              </w:rPr>
            </w:pPr>
            <w:r>
              <w:rPr>
                <w:rFonts w:hint="eastAsia" w:cs="宋体"/>
                <w:sz w:val="24"/>
                <w:szCs w:val="24"/>
              </w:rPr>
              <w:t>根据承德市环境保护局公布的《</w:t>
            </w:r>
            <w:r>
              <w:rPr>
                <w:rFonts w:cs="TimesNewRomanPSMT"/>
                <w:sz w:val="24"/>
                <w:szCs w:val="24"/>
              </w:rPr>
              <w:t>2017</w:t>
            </w:r>
            <w:r>
              <w:rPr>
                <w:rFonts w:hint="eastAsia" w:cs="宋体"/>
                <w:sz w:val="24"/>
                <w:szCs w:val="24"/>
              </w:rPr>
              <w:t>年承德市环境状况公报》中鹰手营子矿区环境空气质量监测结果，鹰手营子矿区环境空气质量达到和好于二级天数为</w:t>
            </w:r>
            <w:r>
              <w:rPr>
                <w:rFonts w:cs="TimesNewRomanPSMT"/>
                <w:sz w:val="24"/>
                <w:szCs w:val="24"/>
              </w:rPr>
              <w:t>229</w:t>
            </w:r>
            <w:r>
              <w:rPr>
                <w:rFonts w:hint="eastAsia" w:cs="宋体"/>
                <w:sz w:val="24"/>
                <w:szCs w:val="24"/>
              </w:rPr>
              <w:t>天，根据监测数据可知二氧化硫、二氧化氮和一氧化碳满足《环境空气质量标准》（</w:t>
            </w:r>
            <w:r>
              <w:rPr>
                <w:rFonts w:cs="TimesNewRomanPSMT"/>
                <w:sz w:val="24"/>
                <w:szCs w:val="24"/>
              </w:rPr>
              <w:t>GB3095-2012</w:t>
            </w:r>
            <w:r>
              <w:rPr>
                <w:rFonts w:hint="eastAsia" w:cs="宋体"/>
                <w:sz w:val="24"/>
                <w:szCs w:val="24"/>
              </w:rPr>
              <w:t>）及修改单中二级标准，臭氧、</w:t>
            </w:r>
            <w:r>
              <w:rPr>
                <w:rFonts w:cs="TimesNewRomanPSMT"/>
                <w:sz w:val="24"/>
                <w:szCs w:val="24"/>
              </w:rPr>
              <w:t>PM</w:t>
            </w:r>
            <w:r>
              <w:rPr>
                <w:rFonts w:cs="TimesNewRomanPSMT"/>
                <w:sz w:val="24"/>
                <w:szCs w:val="24"/>
                <w:vertAlign w:val="subscript"/>
              </w:rPr>
              <w:t>10</w:t>
            </w:r>
            <w:r>
              <w:rPr>
                <w:rFonts w:hint="eastAsia" w:cs="宋体"/>
                <w:sz w:val="24"/>
                <w:szCs w:val="24"/>
              </w:rPr>
              <w:t>和</w:t>
            </w:r>
            <w:r>
              <w:rPr>
                <w:rFonts w:cs="TimesNewRomanPSMT"/>
                <w:sz w:val="24"/>
                <w:szCs w:val="24"/>
              </w:rPr>
              <w:t>PM</w:t>
            </w:r>
            <w:r>
              <w:rPr>
                <w:rFonts w:cs="TimesNewRomanPSMT"/>
                <w:sz w:val="24"/>
                <w:szCs w:val="24"/>
                <w:vertAlign w:val="subscript"/>
              </w:rPr>
              <w:t>2.5</w:t>
            </w:r>
            <w:r>
              <w:rPr>
                <w:rFonts w:hint="eastAsia" w:cs="宋体"/>
                <w:sz w:val="24"/>
                <w:szCs w:val="24"/>
              </w:rPr>
              <w:t>不满足《环境空气质量标准》（</w:t>
            </w:r>
            <w:r>
              <w:rPr>
                <w:rFonts w:cs="TimesNewRomanPSMT"/>
                <w:sz w:val="24"/>
                <w:szCs w:val="24"/>
              </w:rPr>
              <w:t>GB3095-2012</w:t>
            </w:r>
            <w:r>
              <w:rPr>
                <w:rFonts w:hint="eastAsia" w:cs="宋体"/>
                <w:sz w:val="24"/>
                <w:szCs w:val="24"/>
              </w:rPr>
              <w:t>）及修改单中二级标准。</w:t>
            </w:r>
          </w:p>
          <w:p>
            <w:pPr>
              <w:spacing w:line="360" w:lineRule="auto"/>
              <w:ind w:firstLine="480" w:firstLineChars="200"/>
              <w:rPr>
                <w:sz w:val="24"/>
                <w:szCs w:val="24"/>
              </w:rPr>
            </w:pPr>
            <w:r>
              <w:rPr>
                <w:sz w:val="24"/>
                <w:szCs w:val="24"/>
              </w:rPr>
              <w:t>（二）水环境</w:t>
            </w:r>
            <w:r>
              <w:rPr>
                <w:rFonts w:hint="eastAsia"/>
                <w:sz w:val="24"/>
                <w:szCs w:val="24"/>
              </w:rPr>
              <w:t>质量现状</w:t>
            </w:r>
          </w:p>
          <w:p>
            <w:pPr>
              <w:pStyle w:val="12"/>
              <w:spacing w:line="360" w:lineRule="auto"/>
              <w:ind w:left="0" w:firstLine="480" w:firstLineChars="200"/>
              <w:rPr>
                <w:rFonts w:cs="宋体"/>
                <w:sz w:val="24"/>
                <w:szCs w:val="24"/>
              </w:rPr>
            </w:pPr>
            <w:r>
              <w:rPr>
                <w:rFonts w:hint="eastAsia" w:cs="宋体"/>
                <w:sz w:val="24"/>
                <w:szCs w:val="24"/>
              </w:rPr>
              <w:t>根据《</w:t>
            </w:r>
            <w:r>
              <w:rPr>
                <w:rFonts w:cs="宋体"/>
                <w:sz w:val="24"/>
                <w:szCs w:val="24"/>
              </w:rPr>
              <w:t>2017</w:t>
            </w:r>
            <w:r>
              <w:rPr>
                <w:rFonts w:hint="eastAsia" w:cs="宋体"/>
                <w:sz w:val="24"/>
                <w:szCs w:val="24"/>
              </w:rPr>
              <w:t>年承德市环境状况公报》中柳河的监测结果，鹰手营子矿区柳源污水处理厂排放口位于兴隆上游断面、</w:t>
            </w:r>
            <w:r>
              <w:rPr>
                <w:rFonts w:cs="宋体"/>
                <w:sz w:val="24"/>
                <w:szCs w:val="24"/>
              </w:rPr>
              <w:t>26#</w:t>
            </w:r>
            <w:r>
              <w:rPr>
                <w:rFonts w:hint="eastAsia" w:cs="宋体"/>
                <w:sz w:val="24"/>
                <w:szCs w:val="24"/>
              </w:rPr>
              <w:t>大桥断面之间，</w:t>
            </w:r>
            <w:r>
              <w:rPr>
                <w:rFonts w:cs="宋体"/>
                <w:sz w:val="24"/>
                <w:szCs w:val="24"/>
              </w:rPr>
              <w:t xml:space="preserve">2017 </w:t>
            </w:r>
            <w:r>
              <w:rPr>
                <w:rFonts w:hint="eastAsia" w:cs="宋体"/>
                <w:sz w:val="24"/>
                <w:szCs w:val="24"/>
              </w:rPr>
              <w:t>年柳河流域水质状况为优，</w:t>
            </w:r>
            <w:r>
              <w:rPr>
                <w:sz w:val="24"/>
              </w:rPr>
              <w:t>符合国家地表水Ⅲ类水质标准</w:t>
            </w:r>
            <w:r>
              <w:rPr>
                <w:rFonts w:hint="eastAsia" w:cs="宋体"/>
                <w:sz w:val="24"/>
                <w:szCs w:val="24"/>
              </w:rPr>
              <w:t>。</w:t>
            </w:r>
          </w:p>
          <w:p>
            <w:pPr>
              <w:pStyle w:val="12"/>
              <w:spacing w:line="360" w:lineRule="auto"/>
              <w:ind w:left="0" w:firstLine="480" w:firstLineChars="200"/>
              <w:rPr>
                <w:rFonts w:cs="宋体"/>
                <w:sz w:val="24"/>
                <w:szCs w:val="24"/>
              </w:rPr>
            </w:pPr>
            <w:r>
              <w:rPr>
                <w:rFonts w:hint="eastAsia" w:cs="宋体"/>
                <w:sz w:val="24"/>
                <w:szCs w:val="24"/>
              </w:rPr>
              <w:t>项目所在区域地下水水质良好，地下水环境满足《地下水质量标准》（</w:t>
            </w:r>
            <w:r>
              <w:rPr>
                <w:rFonts w:cs="TimesNewRomanPSMT"/>
                <w:sz w:val="24"/>
                <w:szCs w:val="24"/>
              </w:rPr>
              <w:t>GB/T14848-2017</w:t>
            </w:r>
            <w:r>
              <w:rPr>
                <w:rFonts w:hint="eastAsia" w:cs="宋体"/>
                <w:sz w:val="24"/>
                <w:szCs w:val="24"/>
              </w:rPr>
              <w:t>）中</w:t>
            </w:r>
            <w:r>
              <w:rPr>
                <w:sz w:val="24"/>
                <w:szCs w:val="24"/>
              </w:rPr>
              <w:t>Ⅲ</w:t>
            </w:r>
            <w:r>
              <w:rPr>
                <w:rFonts w:hint="eastAsia" w:cs="宋体"/>
                <w:sz w:val="24"/>
                <w:szCs w:val="24"/>
              </w:rPr>
              <w:t>类标准要求。</w:t>
            </w:r>
          </w:p>
          <w:p>
            <w:pPr>
              <w:pStyle w:val="12"/>
              <w:spacing w:line="360" w:lineRule="auto"/>
              <w:ind w:left="0" w:firstLine="480" w:firstLineChars="200"/>
              <w:rPr>
                <w:bCs w:val="0"/>
                <w:kern w:val="0"/>
                <w:sz w:val="24"/>
                <w:szCs w:val="24"/>
              </w:rPr>
            </w:pPr>
            <w:r>
              <w:rPr>
                <w:bCs w:val="0"/>
                <w:kern w:val="0"/>
                <w:sz w:val="24"/>
                <w:szCs w:val="24"/>
              </w:rPr>
              <w:t>（三）声环境</w:t>
            </w:r>
            <w:r>
              <w:rPr>
                <w:rFonts w:hint="eastAsia"/>
                <w:sz w:val="24"/>
                <w:szCs w:val="24"/>
              </w:rPr>
              <w:t>质量现状</w:t>
            </w:r>
          </w:p>
          <w:p>
            <w:pPr>
              <w:autoSpaceDE w:val="0"/>
              <w:autoSpaceDN w:val="0"/>
              <w:spacing w:line="360" w:lineRule="auto"/>
              <w:ind w:firstLine="480" w:firstLineChars="200"/>
              <w:jc w:val="left"/>
              <w:textAlignment w:val="auto"/>
              <w:rPr>
                <w:rFonts w:cs="宋体"/>
                <w:sz w:val="24"/>
                <w:szCs w:val="24"/>
              </w:rPr>
            </w:pPr>
            <w:r>
              <w:rPr>
                <w:rFonts w:hint="eastAsia" w:cs="宋体"/>
                <w:sz w:val="24"/>
                <w:szCs w:val="24"/>
              </w:rPr>
              <w:t>项目所在区域内声环境质量良好，项目厂界噪声满足《声环境质量标准》（</w:t>
            </w:r>
            <w:r>
              <w:rPr>
                <w:rFonts w:cs="TimesNewRomanPSMT"/>
                <w:sz w:val="24"/>
                <w:szCs w:val="24"/>
              </w:rPr>
              <w:t>GB3096-2008</w:t>
            </w:r>
            <w:r>
              <w:rPr>
                <w:rFonts w:hint="eastAsia" w:cs="宋体"/>
                <w:sz w:val="24"/>
                <w:szCs w:val="24"/>
              </w:rPr>
              <w:t>）中</w:t>
            </w:r>
            <w:r>
              <w:rPr>
                <w:rFonts w:cs="TimesNewRomanPSMT"/>
                <w:sz w:val="24"/>
                <w:szCs w:val="24"/>
              </w:rPr>
              <w:t>2</w:t>
            </w:r>
            <w:r>
              <w:rPr>
                <w:rFonts w:hint="eastAsia" w:cs="TimesNewRomanPSMT"/>
                <w:sz w:val="24"/>
                <w:szCs w:val="24"/>
              </w:rPr>
              <w:t>区</w:t>
            </w:r>
            <w:r>
              <w:rPr>
                <w:rFonts w:hint="eastAsia" w:cs="宋体"/>
                <w:sz w:val="24"/>
                <w:szCs w:val="24"/>
              </w:rPr>
              <w:t>类标准要求。</w:t>
            </w:r>
          </w:p>
          <w:p>
            <w:pPr>
              <w:pStyle w:val="84"/>
              <w:spacing w:line="360" w:lineRule="auto"/>
              <w:ind w:left="420" w:firstLine="0" w:firstLineChars="0"/>
              <w:outlineLvl w:val="0"/>
              <w:rPr>
                <w:b/>
                <w:bCs/>
                <w:sz w:val="24"/>
                <w:szCs w:val="24"/>
              </w:rPr>
            </w:pPr>
            <w:r>
              <w:rPr>
                <w:b/>
                <w:bCs/>
                <w:sz w:val="24"/>
                <w:szCs w:val="24"/>
              </w:rPr>
              <w:t>3、环境</w:t>
            </w:r>
            <w:r>
              <w:rPr>
                <w:rFonts w:hint="eastAsia"/>
                <w:b/>
                <w:bCs/>
                <w:sz w:val="24"/>
                <w:szCs w:val="24"/>
              </w:rPr>
              <w:t>影响评价结论</w:t>
            </w:r>
          </w:p>
          <w:p>
            <w:pPr>
              <w:pStyle w:val="105"/>
              <w:spacing w:line="360" w:lineRule="auto"/>
              <w:ind w:firstLine="480" w:firstLineChars="200"/>
              <w:rPr>
                <w:rFonts w:ascii="Times New Roman"/>
                <w:color w:val="auto"/>
              </w:rPr>
            </w:pPr>
            <w:r>
              <w:rPr>
                <w:rFonts w:hint="eastAsia" w:ascii="Times New Roman"/>
                <w:color w:val="auto"/>
              </w:rPr>
              <w:t>（1）大气环境影响分析</w:t>
            </w:r>
          </w:p>
          <w:p>
            <w:pPr>
              <w:pStyle w:val="105"/>
              <w:spacing w:line="360" w:lineRule="auto"/>
              <w:ind w:firstLine="480" w:firstLineChars="200"/>
              <w:rPr>
                <w:rFonts w:ascii="Times New Roman"/>
                <w:color w:val="auto"/>
              </w:rPr>
            </w:pPr>
            <w:r>
              <w:rPr>
                <w:rFonts w:hint="eastAsia" w:ascii="Times New Roman"/>
                <w:color w:val="auto"/>
              </w:rPr>
              <w:t>施工期：建议对施工扬尘采取洒水湿法抑尘，并对进出车辆进行冲洗，及时硬化道路及绿化，设置施工围挡等；建设单位应采用新型环保水性漆，尽最大程度减轻装修废气对周边环境空气的不良影响。</w:t>
            </w:r>
          </w:p>
          <w:p>
            <w:pPr>
              <w:spacing w:line="360" w:lineRule="auto"/>
              <w:ind w:firstLine="480" w:firstLineChars="200"/>
              <w:rPr>
                <w:bCs/>
                <w:sz w:val="24"/>
                <w:szCs w:val="24"/>
              </w:rPr>
            </w:pPr>
            <w:r>
              <w:rPr>
                <w:rFonts w:hint="eastAsia"/>
                <w:sz w:val="24"/>
                <w:szCs w:val="24"/>
              </w:rPr>
              <w:t>营运期：本项目主要产生的废气为N</w:t>
            </w:r>
            <w:r>
              <w:rPr>
                <w:rFonts w:hint="eastAsia"/>
                <w:sz w:val="24"/>
                <w:szCs w:val="24"/>
                <w:vertAlign w:val="subscript"/>
              </w:rPr>
              <w:t>3</w:t>
            </w:r>
            <w:r>
              <w:rPr>
                <w:rFonts w:hint="eastAsia"/>
                <w:sz w:val="24"/>
                <w:szCs w:val="24"/>
              </w:rPr>
              <w:t>H、H</w:t>
            </w:r>
            <w:r>
              <w:rPr>
                <w:rFonts w:hint="eastAsia"/>
                <w:sz w:val="24"/>
                <w:szCs w:val="24"/>
                <w:vertAlign w:val="subscript"/>
              </w:rPr>
              <w:t>2</w:t>
            </w:r>
            <w:r>
              <w:rPr>
                <w:rFonts w:hint="eastAsia"/>
                <w:sz w:val="24"/>
                <w:szCs w:val="24"/>
              </w:rPr>
              <w:t>S，经“负压抽风净化+</w:t>
            </w:r>
            <w:r>
              <w:rPr>
                <w:rFonts w:hint="eastAsia" w:cs="宋体"/>
                <w:sz w:val="24"/>
                <w:szCs w:val="24"/>
              </w:rPr>
              <w:t>雾化喷淋+生物除臭剂”处理</w:t>
            </w:r>
            <w:r>
              <w:rPr>
                <w:rFonts w:hint="eastAsia"/>
                <w:sz w:val="24"/>
                <w:szCs w:val="24"/>
              </w:rPr>
              <w:t>后经15m高排气筒达标排放。</w:t>
            </w:r>
            <w:r>
              <w:rPr>
                <w:bCs/>
                <w:sz w:val="24"/>
                <w:szCs w:val="24"/>
              </w:rPr>
              <w:t>根据估算结果，</w:t>
            </w:r>
            <w:r>
              <w:rPr>
                <w:rFonts w:hint="eastAsia"/>
                <w:bCs/>
                <w:sz w:val="24"/>
                <w:szCs w:val="24"/>
              </w:rPr>
              <w:t>主城区垃圾转运站NH</w:t>
            </w:r>
            <w:r>
              <w:rPr>
                <w:rFonts w:hint="eastAsia"/>
                <w:bCs/>
                <w:sz w:val="24"/>
                <w:szCs w:val="24"/>
                <w:vertAlign w:val="subscript"/>
              </w:rPr>
              <w:t>3</w:t>
            </w:r>
            <w:r>
              <w:rPr>
                <w:rFonts w:hint="eastAsia"/>
                <w:bCs/>
                <w:sz w:val="24"/>
                <w:szCs w:val="24"/>
              </w:rPr>
              <w:t>在下风向</w:t>
            </w:r>
            <w:r>
              <w:rPr>
                <w:bCs/>
                <w:sz w:val="24"/>
                <w:szCs w:val="24"/>
              </w:rPr>
              <w:t>最大落地浓度为</w:t>
            </w:r>
            <w:r>
              <w:rPr>
                <w:rFonts w:hint="eastAsia"/>
                <w:bCs/>
                <w:sz w:val="24"/>
                <w:szCs w:val="24"/>
              </w:rPr>
              <w:t>1.</w:t>
            </w:r>
            <w:r>
              <w:rPr>
                <w:bCs/>
                <w:sz w:val="24"/>
                <w:szCs w:val="24"/>
              </w:rPr>
              <w:t>35</w:t>
            </w:r>
            <w:r>
              <w:rPr>
                <w:rFonts w:hint="eastAsia"/>
                <w:bCs/>
                <w:sz w:val="24"/>
                <w:szCs w:val="24"/>
              </w:rPr>
              <w:t>u</w:t>
            </w:r>
            <w:r>
              <w:rPr>
                <w:bCs/>
                <w:sz w:val="24"/>
                <w:szCs w:val="24"/>
              </w:rPr>
              <w:t>g/m</w:t>
            </w:r>
            <w:r>
              <w:rPr>
                <w:bCs/>
                <w:sz w:val="24"/>
                <w:szCs w:val="24"/>
                <w:vertAlign w:val="superscript"/>
              </w:rPr>
              <w:t>3</w:t>
            </w:r>
            <w:r>
              <w:rPr>
                <w:rFonts w:hint="eastAsia"/>
                <w:bCs/>
                <w:sz w:val="24"/>
                <w:szCs w:val="24"/>
              </w:rPr>
              <w:t>，最大落地浓度</w:t>
            </w:r>
            <w:r>
              <w:rPr>
                <w:bCs/>
                <w:sz w:val="24"/>
                <w:szCs w:val="24"/>
              </w:rPr>
              <w:t>占标率为</w:t>
            </w:r>
            <w:r>
              <w:rPr>
                <w:rFonts w:hint="eastAsia"/>
                <w:bCs/>
                <w:sz w:val="24"/>
                <w:szCs w:val="24"/>
              </w:rPr>
              <w:t>0.</w:t>
            </w:r>
            <w:r>
              <w:rPr>
                <w:bCs/>
                <w:sz w:val="24"/>
                <w:szCs w:val="24"/>
              </w:rPr>
              <w:t>68</w:t>
            </w:r>
            <w:r>
              <w:rPr>
                <w:rFonts w:hint="eastAsia"/>
                <w:bCs/>
                <w:sz w:val="24"/>
                <w:szCs w:val="24"/>
              </w:rPr>
              <w:t>%，H</w:t>
            </w:r>
            <w:r>
              <w:rPr>
                <w:rFonts w:hint="eastAsia"/>
                <w:bCs/>
                <w:sz w:val="24"/>
                <w:szCs w:val="24"/>
                <w:vertAlign w:val="subscript"/>
              </w:rPr>
              <w:t>2</w:t>
            </w:r>
            <w:r>
              <w:rPr>
                <w:rFonts w:hint="eastAsia"/>
                <w:bCs/>
                <w:sz w:val="24"/>
                <w:szCs w:val="24"/>
              </w:rPr>
              <w:t>S在下风向</w:t>
            </w:r>
            <w:r>
              <w:rPr>
                <w:bCs/>
                <w:sz w:val="24"/>
                <w:szCs w:val="24"/>
              </w:rPr>
              <w:t>最大落地浓度为</w:t>
            </w:r>
            <w:r>
              <w:rPr>
                <w:rFonts w:hint="eastAsia"/>
                <w:bCs/>
                <w:sz w:val="24"/>
                <w:szCs w:val="24"/>
              </w:rPr>
              <w:t>0.</w:t>
            </w:r>
            <w:r>
              <w:rPr>
                <w:bCs/>
                <w:sz w:val="24"/>
                <w:szCs w:val="24"/>
              </w:rPr>
              <w:t>14</w:t>
            </w:r>
            <w:r>
              <w:rPr>
                <w:rFonts w:hint="eastAsia"/>
                <w:bCs/>
                <w:sz w:val="24"/>
                <w:szCs w:val="24"/>
              </w:rPr>
              <w:t>u</w:t>
            </w:r>
            <w:r>
              <w:rPr>
                <w:bCs/>
                <w:sz w:val="24"/>
                <w:szCs w:val="24"/>
              </w:rPr>
              <w:t>g/m</w:t>
            </w:r>
            <w:r>
              <w:rPr>
                <w:bCs/>
                <w:sz w:val="24"/>
                <w:szCs w:val="24"/>
                <w:vertAlign w:val="superscript"/>
              </w:rPr>
              <w:t>3</w:t>
            </w:r>
            <w:r>
              <w:rPr>
                <w:rFonts w:hint="eastAsia"/>
                <w:bCs/>
                <w:sz w:val="24"/>
                <w:szCs w:val="24"/>
              </w:rPr>
              <w:t>，最大地面浓度</w:t>
            </w:r>
            <w:r>
              <w:rPr>
                <w:bCs/>
                <w:sz w:val="24"/>
                <w:szCs w:val="24"/>
              </w:rPr>
              <w:t>占标率为</w:t>
            </w:r>
            <w:r>
              <w:rPr>
                <w:rFonts w:hint="eastAsia"/>
                <w:bCs/>
                <w:sz w:val="24"/>
                <w:szCs w:val="24"/>
              </w:rPr>
              <w:t>0.</w:t>
            </w:r>
            <w:r>
              <w:rPr>
                <w:bCs/>
                <w:sz w:val="24"/>
                <w:szCs w:val="24"/>
              </w:rPr>
              <w:t>98</w:t>
            </w:r>
            <w:r>
              <w:rPr>
                <w:rFonts w:hint="eastAsia"/>
                <w:bCs/>
                <w:sz w:val="24"/>
                <w:szCs w:val="24"/>
              </w:rPr>
              <w:t>%；寿王坟镇垃圾转运站NH</w:t>
            </w:r>
            <w:r>
              <w:rPr>
                <w:rFonts w:hint="eastAsia"/>
                <w:bCs/>
                <w:sz w:val="24"/>
                <w:szCs w:val="24"/>
                <w:vertAlign w:val="subscript"/>
              </w:rPr>
              <w:t>3</w:t>
            </w:r>
            <w:r>
              <w:rPr>
                <w:rFonts w:hint="eastAsia"/>
                <w:bCs/>
                <w:sz w:val="24"/>
                <w:szCs w:val="24"/>
              </w:rPr>
              <w:t>在下风向</w:t>
            </w:r>
            <w:r>
              <w:rPr>
                <w:bCs/>
                <w:sz w:val="24"/>
                <w:szCs w:val="24"/>
              </w:rPr>
              <w:t>最大落地浓度为0.82</w:t>
            </w:r>
            <w:r>
              <w:rPr>
                <w:rFonts w:hint="eastAsia"/>
                <w:bCs/>
                <w:sz w:val="24"/>
                <w:szCs w:val="24"/>
              </w:rPr>
              <w:t>u</w:t>
            </w:r>
            <w:r>
              <w:rPr>
                <w:bCs/>
                <w:sz w:val="24"/>
                <w:szCs w:val="24"/>
              </w:rPr>
              <w:t>g/m</w:t>
            </w:r>
            <w:r>
              <w:rPr>
                <w:bCs/>
                <w:sz w:val="24"/>
                <w:szCs w:val="24"/>
                <w:vertAlign w:val="superscript"/>
              </w:rPr>
              <w:t>3</w:t>
            </w:r>
            <w:r>
              <w:rPr>
                <w:rFonts w:hint="eastAsia"/>
                <w:bCs/>
                <w:sz w:val="24"/>
                <w:szCs w:val="24"/>
              </w:rPr>
              <w:t>，最大落地浓度</w:t>
            </w:r>
            <w:r>
              <w:rPr>
                <w:bCs/>
                <w:sz w:val="24"/>
                <w:szCs w:val="24"/>
              </w:rPr>
              <w:t>占标率为</w:t>
            </w:r>
            <w:r>
              <w:rPr>
                <w:rFonts w:hint="eastAsia"/>
                <w:bCs/>
                <w:sz w:val="24"/>
                <w:szCs w:val="24"/>
              </w:rPr>
              <w:t>0.</w:t>
            </w:r>
            <w:r>
              <w:rPr>
                <w:bCs/>
                <w:sz w:val="24"/>
                <w:szCs w:val="24"/>
              </w:rPr>
              <w:t>41</w:t>
            </w:r>
            <w:r>
              <w:rPr>
                <w:rFonts w:hint="eastAsia"/>
                <w:bCs/>
                <w:sz w:val="24"/>
                <w:szCs w:val="24"/>
              </w:rPr>
              <w:t>%，H</w:t>
            </w:r>
            <w:r>
              <w:rPr>
                <w:rFonts w:hint="eastAsia"/>
                <w:bCs/>
                <w:sz w:val="24"/>
                <w:szCs w:val="24"/>
                <w:vertAlign w:val="subscript"/>
              </w:rPr>
              <w:t>2</w:t>
            </w:r>
            <w:r>
              <w:rPr>
                <w:rFonts w:hint="eastAsia"/>
                <w:bCs/>
                <w:sz w:val="24"/>
                <w:szCs w:val="24"/>
              </w:rPr>
              <w:t>S在下风向</w:t>
            </w:r>
            <w:r>
              <w:rPr>
                <w:bCs/>
                <w:sz w:val="24"/>
                <w:szCs w:val="24"/>
              </w:rPr>
              <w:t>最大落地浓度为</w:t>
            </w:r>
            <w:r>
              <w:rPr>
                <w:rFonts w:hint="eastAsia"/>
                <w:bCs/>
                <w:sz w:val="24"/>
                <w:szCs w:val="24"/>
              </w:rPr>
              <w:t>0.</w:t>
            </w:r>
            <w:r>
              <w:rPr>
                <w:bCs/>
                <w:sz w:val="24"/>
                <w:szCs w:val="24"/>
              </w:rPr>
              <w:t>09</w:t>
            </w:r>
            <w:r>
              <w:rPr>
                <w:rFonts w:hint="eastAsia"/>
                <w:bCs/>
                <w:sz w:val="24"/>
                <w:szCs w:val="24"/>
              </w:rPr>
              <w:t>u</w:t>
            </w:r>
            <w:r>
              <w:rPr>
                <w:bCs/>
                <w:sz w:val="24"/>
                <w:szCs w:val="24"/>
              </w:rPr>
              <w:t>g/m</w:t>
            </w:r>
            <w:r>
              <w:rPr>
                <w:bCs/>
                <w:sz w:val="24"/>
                <w:szCs w:val="24"/>
                <w:vertAlign w:val="superscript"/>
              </w:rPr>
              <w:t>3</w:t>
            </w:r>
            <w:r>
              <w:rPr>
                <w:rFonts w:hint="eastAsia"/>
                <w:bCs/>
                <w:sz w:val="24"/>
                <w:szCs w:val="24"/>
              </w:rPr>
              <w:t>，最大地面浓度</w:t>
            </w:r>
            <w:r>
              <w:rPr>
                <w:bCs/>
                <w:sz w:val="24"/>
                <w:szCs w:val="24"/>
              </w:rPr>
              <w:t>占标率为</w:t>
            </w:r>
            <w:r>
              <w:rPr>
                <w:rFonts w:hint="eastAsia"/>
                <w:bCs/>
                <w:sz w:val="24"/>
                <w:szCs w:val="24"/>
              </w:rPr>
              <w:t>0.</w:t>
            </w:r>
            <w:r>
              <w:rPr>
                <w:bCs/>
                <w:sz w:val="24"/>
                <w:szCs w:val="24"/>
              </w:rPr>
              <w:t>89</w:t>
            </w:r>
            <w:r>
              <w:rPr>
                <w:rFonts w:hint="eastAsia"/>
                <w:bCs/>
                <w:sz w:val="24"/>
                <w:szCs w:val="24"/>
              </w:rPr>
              <w:t>%。</w:t>
            </w:r>
          </w:p>
          <w:p>
            <w:pPr>
              <w:spacing w:line="360" w:lineRule="auto"/>
              <w:ind w:firstLine="480" w:firstLineChars="200"/>
              <w:rPr>
                <w:rFonts w:cs="宋体"/>
                <w:bCs/>
                <w:sz w:val="24"/>
                <w:szCs w:val="24"/>
              </w:rPr>
            </w:pPr>
            <w:r>
              <w:rPr>
                <w:rFonts w:hint="eastAsia"/>
                <w:sz w:val="24"/>
                <w:szCs w:val="24"/>
              </w:rPr>
              <w:t>主城区垃圾转运站最终</w:t>
            </w:r>
            <w:r>
              <w:rPr>
                <w:sz w:val="24"/>
                <w:szCs w:val="24"/>
              </w:rPr>
              <w:t>确定</w:t>
            </w:r>
            <w:r>
              <w:rPr>
                <w:rFonts w:hint="eastAsia"/>
                <w:sz w:val="24"/>
                <w:szCs w:val="24"/>
              </w:rPr>
              <w:t>卫生</w:t>
            </w:r>
            <w:r>
              <w:rPr>
                <w:sz w:val="24"/>
                <w:szCs w:val="24"/>
              </w:rPr>
              <w:t>防护距离</w:t>
            </w:r>
            <w:r>
              <w:rPr>
                <w:rFonts w:hint="eastAsia"/>
                <w:sz w:val="24"/>
                <w:szCs w:val="24"/>
              </w:rPr>
              <w:t>为</w:t>
            </w:r>
            <w:r>
              <w:rPr>
                <w:sz w:val="24"/>
                <w:szCs w:val="24"/>
              </w:rPr>
              <w:t>5</w:t>
            </w:r>
            <w:r>
              <w:rPr>
                <w:rFonts w:hint="eastAsia"/>
                <w:sz w:val="24"/>
                <w:szCs w:val="24"/>
              </w:rPr>
              <w:t>0</w:t>
            </w:r>
            <w:r>
              <w:rPr>
                <w:sz w:val="24"/>
                <w:szCs w:val="24"/>
              </w:rPr>
              <w:t>m，项目厂界50m范围内无居民区等环境敏感点，距离项目最近的环境敏感点为厂界</w:t>
            </w:r>
            <w:r>
              <w:rPr>
                <w:rFonts w:hint="eastAsia"/>
                <w:sz w:val="24"/>
                <w:szCs w:val="24"/>
              </w:rPr>
              <w:t>西南</w:t>
            </w:r>
            <w:r>
              <w:rPr>
                <w:sz w:val="24"/>
                <w:szCs w:val="24"/>
              </w:rPr>
              <w:t>432m</w:t>
            </w:r>
            <w:r>
              <w:rPr>
                <w:rFonts w:hint="eastAsia"/>
                <w:sz w:val="24"/>
                <w:szCs w:val="24"/>
              </w:rPr>
              <w:t>的</w:t>
            </w:r>
            <w:r>
              <w:rPr>
                <w:rFonts w:hint="eastAsia"/>
                <w:bCs/>
                <w:sz w:val="24"/>
                <w:szCs w:val="21"/>
              </w:rPr>
              <w:t>老爷庙村</w:t>
            </w:r>
            <w:r>
              <w:rPr>
                <w:sz w:val="24"/>
                <w:szCs w:val="24"/>
              </w:rPr>
              <w:t>，满足项目卫生防护距离要求</w:t>
            </w:r>
            <w:r>
              <w:rPr>
                <w:rFonts w:hint="eastAsia"/>
                <w:sz w:val="24"/>
                <w:szCs w:val="24"/>
              </w:rPr>
              <w:t>；寿王坟镇垃圾转运站最终</w:t>
            </w:r>
            <w:r>
              <w:rPr>
                <w:sz w:val="24"/>
                <w:szCs w:val="24"/>
              </w:rPr>
              <w:t>确定</w:t>
            </w:r>
            <w:r>
              <w:rPr>
                <w:rFonts w:hint="eastAsia"/>
                <w:sz w:val="24"/>
                <w:szCs w:val="24"/>
              </w:rPr>
              <w:t>卫生</w:t>
            </w:r>
            <w:r>
              <w:rPr>
                <w:sz w:val="24"/>
                <w:szCs w:val="24"/>
              </w:rPr>
              <w:t>防护距离</w:t>
            </w:r>
            <w:r>
              <w:rPr>
                <w:rFonts w:hint="eastAsia"/>
                <w:sz w:val="24"/>
                <w:szCs w:val="24"/>
              </w:rPr>
              <w:t>为</w:t>
            </w:r>
            <w:r>
              <w:rPr>
                <w:sz w:val="24"/>
                <w:szCs w:val="24"/>
              </w:rPr>
              <w:t>50m，项目厂界50m范围内无居民区等环境敏感点，距离项目最近的环境敏感点为厂界</w:t>
            </w:r>
            <w:r>
              <w:rPr>
                <w:rFonts w:hint="eastAsia"/>
                <w:sz w:val="24"/>
                <w:szCs w:val="24"/>
              </w:rPr>
              <w:t>东北</w:t>
            </w:r>
            <w:r>
              <w:rPr>
                <w:sz w:val="24"/>
                <w:szCs w:val="24"/>
              </w:rPr>
              <w:t>344m</w:t>
            </w:r>
            <w:r>
              <w:rPr>
                <w:rFonts w:hint="eastAsia"/>
                <w:sz w:val="24"/>
                <w:szCs w:val="24"/>
              </w:rPr>
              <w:t>的</w:t>
            </w:r>
            <w:r>
              <w:rPr>
                <w:rFonts w:hint="eastAsia"/>
                <w:sz w:val="24"/>
                <w:szCs w:val="21"/>
              </w:rPr>
              <w:t>朝梁子</w:t>
            </w:r>
            <w:r>
              <w:rPr>
                <w:sz w:val="24"/>
                <w:szCs w:val="24"/>
              </w:rPr>
              <w:t>，满足项目卫生防护距离要求</w:t>
            </w:r>
            <w:r>
              <w:rPr>
                <w:rFonts w:hint="eastAsia"/>
                <w:sz w:val="24"/>
                <w:szCs w:val="24"/>
              </w:rPr>
              <w:t>。</w:t>
            </w:r>
          </w:p>
          <w:p>
            <w:pPr>
              <w:pStyle w:val="105"/>
              <w:spacing w:line="360" w:lineRule="auto"/>
              <w:ind w:firstLine="480" w:firstLineChars="200"/>
              <w:rPr>
                <w:rFonts w:ascii="Times New Roman" w:cs="Times New Roman"/>
                <w:color w:val="auto"/>
              </w:rPr>
            </w:pPr>
            <w:r>
              <w:rPr>
                <w:rFonts w:hint="eastAsia" w:ascii="Times New Roman" w:cs="Times New Roman"/>
                <w:color w:val="auto"/>
              </w:rPr>
              <w:t>本项目餐厅烹饪过程和面点区会产生油烟，均经静电式油烟净化器处理后通过专用风道引至所在建筑的油烟排放口排放，厨房区的油烟排放浓度为</w:t>
            </w:r>
            <w:r>
              <w:rPr>
                <w:rFonts w:ascii="Times New Roman" w:cs="Times New Roman"/>
                <w:color w:val="auto"/>
              </w:rPr>
              <w:t>0.41mg/m</w:t>
            </w:r>
            <w:r>
              <w:rPr>
                <w:rFonts w:ascii="Times New Roman" w:cs="Times New Roman"/>
                <w:color w:val="auto"/>
                <w:vertAlign w:val="superscript"/>
              </w:rPr>
              <w:t>3</w:t>
            </w:r>
            <w:r>
              <w:rPr>
                <w:rFonts w:hint="eastAsia" w:ascii="Times New Roman" w:cs="Times New Roman"/>
                <w:color w:val="auto"/>
              </w:rPr>
              <w:t>。本项目油烟排口周围20m范围内无已建成居民住宅、学校、医院等环境敏感目标，能够符合《饮食业环境保护技术规范》（HJ554-2010）中关于油烟排口设置的要求。本项目油烟排放符合《饮食业油烟排放标准》（GB18483-2001）和《饮食业环境保护技术规范》（HJ554-2010）中的规定。</w:t>
            </w:r>
          </w:p>
          <w:p>
            <w:pPr>
              <w:pStyle w:val="11"/>
              <w:spacing w:after="0" w:line="360" w:lineRule="auto"/>
              <w:ind w:firstLine="480" w:firstLineChars="200"/>
              <w:rPr>
                <w:sz w:val="24"/>
              </w:rPr>
            </w:pPr>
            <w:r>
              <w:rPr>
                <w:rFonts w:hint="eastAsia"/>
                <w:sz w:val="24"/>
              </w:rPr>
              <w:t>综上，项目对周边环境空气影响较小。</w:t>
            </w:r>
          </w:p>
          <w:p>
            <w:pPr>
              <w:autoSpaceDE w:val="0"/>
              <w:autoSpaceDN w:val="0"/>
              <w:spacing w:line="360" w:lineRule="auto"/>
              <w:ind w:firstLine="480" w:firstLineChars="200"/>
              <w:jc w:val="left"/>
              <w:textAlignment w:val="auto"/>
              <w:rPr>
                <w:rFonts w:cs="宋体"/>
                <w:sz w:val="24"/>
                <w:szCs w:val="24"/>
              </w:rPr>
            </w:pPr>
            <w:r>
              <w:rPr>
                <w:rFonts w:hint="eastAsia" w:cs="宋体"/>
                <w:sz w:val="24"/>
                <w:szCs w:val="24"/>
              </w:rPr>
              <w:t>（2）水环境保护措施与影响评价结论</w:t>
            </w:r>
          </w:p>
          <w:p>
            <w:pPr>
              <w:pStyle w:val="105"/>
              <w:spacing w:line="360" w:lineRule="auto"/>
              <w:ind w:firstLine="480" w:firstLineChars="200"/>
              <w:rPr>
                <w:rFonts w:ascii="Times New Roman"/>
                <w:color w:val="auto"/>
              </w:rPr>
            </w:pPr>
            <w:r>
              <w:rPr>
                <w:rFonts w:hint="eastAsia" w:ascii="Times New Roman"/>
                <w:color w:val="auto"/>
              </w:rPr>
              <w:t>施工期：严格检查施工机械，防止油料发生泄漏；施工废水经沉淀、隔油等措施处理后，回用于施工场地洒水抑尘等环节；施工生活区内设置简易化粪池收集施工人员生活污水，用密闭罐车定期拉运至鹰手营子矿区垃圾填埋场渗滤液处理站进行后续处理，均不得直接排入附近地表水体。</w:t>
            </w:r>
          </w:p>
          <w:p>
            <w:pPr>
              <w:pStyle w:val="105"/>
              <w:spacing w:line="360" w:lineRule="auto"/>
              <w:ind w:firstLine="480" w:firstLineChars="200"/>
              <w:rPr>
                <w:rFonts w:ascii="Times New Roman"/>
                <w:color w:val="auto"/>
              </w:rPr>
            </w:pPr>
            <w:r>
              <w:rPr>
                <w:rFonts w:hint="eastAsia" w:ascii="Times New Roman"/>
                <w:color w:val="auto"/>
              </w:rPr>
              <w:t>营运期：项目运营期渗滤液、冲洗废水及员工生活污水收集后，经项目区内自建的污水收集池收集后与项目收运的垃圾一同运往鹰手营子矿区垃圾填埋场，经垃圾填埋场内渗滤液处理站处理达到《生活垃圾填埋场污染控制标准》（</w:t>
            </w:r>
            <w:r>
              <w:rPr>
                <w:rFonts w:ascii="Times New Roman"/>
                <w:color w:val="auto"/>
              </w:rPr>
              <w:t>GB16889-2008</w:t>
            </w:r>
            <w:r>
              <w:rPr>
                <w:rFonts w:hint="eastAsia" w:ascii="Times New Roman"/>
                <w:color w:val="auto"/>
              </w:rPr>
              <w:t>）表</w:t>
            </w:r>
            <w:r>
              <w:rPr>
                <w:rFonts w:ascii="Times New Roman"/>
                <w:color w:val="auto"/>
              </w:rPr>
              <w:t>2</w:t>
            </w:r>
            <w:r>
              <w:rPr>
                <w:rFonts w:hint="eastAsia" w:ascii="Times New Roman"/>
                <w:color w:val="auto"/>
              </w:rPr>
              <w:t>规定的污染物排放浓度限值，处理后的废水在非雨季回灌垃圾堆体，在雨季排入污水处理厂进一步处理，排放标准达到</w:t>
            </w:r>
            <w:r>
              <w:rPr>
                <w:rFonts w:hint="eastAsia" w:ascii="Times New Roman"/>
                <w:color w:val="auto"/>
                <w:spacing w:val="-10"/>
              </w:rPr>
              <w:t>《污水综合排放标准》（GB8978-1996）表4中的三级标准</w:t>
            </w:r>
            <w:r>
              <w:rPr>
                <w:rFonts w:hint="eastAsia" w:ascii="Times New Roman"/>
                <w:color w:val="auto"/>
              </w:rPr>
              <w:t>。</w:t>
            </w:r>
          </w:p>
          <w:p>
            <w:pPr>
              <w:pStyle w:val="105"/>
              <w:spacing w:line="360" w:lineRule="auto"/>
              <w:ind w:firstLine="480" w:firstLineChars="200"/>
              <w:rPr>
                <w:rFonts w:ascii="Times New Roman"/>
                <w:color w:val="auto"/>
              </w:rPr>
            </w:pPr>
            <w:r>
              <w:rPr>
                <w:rFonts w:hint="eastAsia" w:ascii="Times New Roman"/>
                <w:color w:val="auto"/>
              </w:rPr>
              <w:t>综上，本项目的建设对周围地表水环境影响不大。</w:t>
            </w:r>
          </w:p>
          <w:p>
            <w:pPr>
              <w:pStyle w:val="105"/>
              <w:spacing w:line="360" w:lineRule="auto"/>
              <w:ind w:firstLine="480" w:firstLineChars="200"/>
              <w:rPr>
                <w:rFonts w:ascii="Times New Roman"/>
                <w:color w:val="auto"/>
              </w:rPr>
            </w:pPr>
            <w:r>
              <w:rPr>
                <w:rFonts w:hint="eastAsia" w:ascii="Times New Roman"/>
                <w:color w:val="auto"/>
              </w:rPr>
              <w:t>（3）声环境影响分析</w:t>
            </w:r>
          </w:p>
          <w:p>
            <w:pPr>
              <w:pStyle w:val="105"/>
              <w:spacing w:line="360" w:lineRule="auto"/>
              <w:ind w:firstLine="480" w:firstLineChars="200"/>
              <w:rPr>
                <w:rFonts w:ascii="Times New Roman"/>
                <w:color w:val="auto"/>
              </w:rPr>
            </w:pPr>
            <w:r>
              <w:rPr>
                <w:rFonts w:hint="eastAsia" w:ascii="Times New Roman"/>
                <w:color w:val="auto"/>
              </w:rPr>
              <w:t>施工期：施工期应严格控制施工时间，除获得批准的工程，其他工程不得在</w:t>
            </w:r>
            <w:r>
              <w:rPr>
                <w:rFonts w:ascii="Times New Roman"/>
                <w:color w:val="auto"/>
              </w:rPr>
              <w:t>12</w:t>
            </w:r>
            <w:r>
              <w:rPr>
                <w:rFonts w:hint="eastAsia" w:ascii="Times New Roman"/>
                <w:color w:val="auto"/>
              </w:rPr>
              <w:t>：</w:t>
            </w:r>
            <w:r>
              <w:rPr>
                <w:rFonts w:ascii="Times New Roman"/>
                <w:color w:val="auto"/>
              </w:rPr>
              <w:t>00~14</w:t>
            </w:r>
            <w:r>
              <w:rPr>
                <w:rFonts w:hint="eastAsia" w:ascii="Times New Roman"/>
                <w:color w:val="auto"/>
              </w:rPr>
              <w:t>：</w:t>
            </w:r>
            <w:r>
              <w:rPr>
                <w:rFonts w:ascii="Times New Roman"/>
                <w:color w:val="auto"/>
              </w:rPr>
              <w:t>00</w:t>
            </w:r>
            <w:r>
              <w:rPr>
                <w:rFonts w:hint="eastAsia" w:ascii="Times New Roman"/>
                <w:color w:val="auto"/>
              </w:rPr>
              <w:t>、</w:t>
            </w:r>
            <w:r>
              <w:rPr>
                <w:rFonts w:ascii="Times New Roman"/>
                <w:color w:val="auto"/>
              </w:rPr>
              <w:t>23</w:t>
            </w:r>
            <w:r>
              <w:rPr>
                <w:rFonts w:hint="eastAsia" w:ascii="Times New Roman"/>
                <w:color w:val="auto"/>
              </w:rPr>
              <w:t>：</w:t>
            </w:r>
            <w:r>
              <w:rPr>
                <w:rFonts w:ascii="Times New Roman"/>
                <w:color w:val="auto"/>
              </w:rPr>
              <w:t>00~</w:t>
            </w:r>
            <w:r>
              <w:rPr>
                <w:rFonts w:hint="eastAsia" w:ascii="Times New Roman"/>
                <w:color w:val="auto"/>
              </w:rPr>
              <w:t>次日</w:t>
            </w:r>
            <w:r>
              <w:rPr>
                <w:rFonts w:ascii="Times New Roman"/>
                <w:color w:val="auto"/>
              </w:rPr>
              <w:t>7</w:t>
            </w:r>
            <w:r>
              <w:rPr>
                <w:rFonts w:hint="eastAsia" w:ascii="Times New Roman"/>
                <w:color w:val="auto"/>
              </w:rPr>
              <w:t>：</w:t>
            </w:r>
            <w:r>
              <w:rPr>
                <w:rFonts w:ascii="Times New Roman"/>
                <w:color w:val="auto"/>
              </w:rPr>
              <w:t>00</w:t>
            </w:r>
            <w:r>
              <w:rPr>
                <w:rFonts w:hint="eastAsia" w:ascii="Times New Roman"/>
                <w:color w:val="auto"/>
              </w:rPr>
              <w:t>不得施工。选择低噪声设备，闲置的机械设备等应该予以关闭或者减速，定期维修等。</w:t>
            </w:r>
          </w:p>
          <w:p>
            <w:pPr>
              <w:pStyle w:val="105"/>
              <w:spacing w:line="360" w:lineRule="auto"/>
              <w:ind w:firstLine="480" w:firstLineChars="200"/>
              <w:rPr>
                <w:rFonts w:ascii="Times New Roman"/>
                <w:color w:val="auto"/>
              </w:rPr>
            </w:pPr>
            <w:r>
              <w:rPr>
                <w:rFonts w:hint="eastAsia" w:ascii="Times New Roman"/>
                <w:color w:val="auto"/>
              </w:rPr>
              <w:t>营运期：加强设备维护保养、合理安排工作时间、加强管理减少员工作业、搬运过程中产生的噪声。</w:t>
            </w:r>
          </w:p>
          <w:p>
            <w:pPr>
              <w:pStyle w:val="105"/>
              <w:spacing w:line="360" w:lineRule="auto"/>
              <w:ind w:firstLine="480" w:firstLineChars="200"/>
              <w:rPr>
                <w:rFonts w:ascii="Times New Roman"/>
                <w:color w:val="auto"/>
              </w:rPr>
            </w:pPr>
            <w:r>
              <w:rPr>
                <w:rFonts w:hint="eastAsia" w:ascii="Times New Roman"/>
                <w:color w:val="auto"/>
              </w:rPr>
              <w:t>综上，本项目噪声对项目员工及周围声环境敏感点影响不大。</w:t>
            </w:r>
          </w:p>
          <w:p>
            <w:pPr>
              <w:pStyle w:val="105"/>
              <w:spacing w:line="360" w:lineRule="auto"/>
              <w:ind w:firstLine="480" w:firstLineChars="200"/>
              <w:rPr>
                <w:rFonts w:ascii="Times New Roman"/>
                <w:color w:val="auto"/>
              </w:rPr>
            </w:pPr>
            <w:r>
              <w:rPr>
                <w:rFonts w:hint="eastAsia" w:ascii="Times New Roman"/>
                <w:bCs/>
                <w:color w:val="auto"/>
              </w:rPr>
              <w:t>（4）</w:t>
            </w:r>
            <w:r>
              <w:rPr>
                <w:rFonts w:hint="eastAsia" w:ascii="Times New Roman"/>
                <w:color w:val="auto"/>
              </w:rPr>
              <w:t>固体废弃物影响评价结论</w:t>
            </w:r>
          </w:p>
          <w:p>
            <w:pPr>
              <w:pStyle w:val="105"/>
              <w:spacing w:line="360" w:lineRule="auto"/>
              <w:ind w:firstLine="480" w:firstLineChars="200"/>
              <w:rPr>
                <w:rFonts w:ascii="Times New Roman"/>
                <w:color w:val="auto"/>
              </w:rPr>
            </w:pPr>
            <w:r>
              <w:rPr>
                <w:rFonts w:hint="eastAsia" w:ascii="Times New Roman"/>
                <w:color w:val="auto"/>
              </w:rPr>
              <w:t>施工期：项目建筑垃圾分类后回收利用，评价要求对于无利用价值的废弃物应按市政管理部门的要求运往指定地点处理处置；施工人员生活垃圾统一收集处理。施工期固体废物经以上途径处理不会对周边环境造成二次污染，对周边环境影响可以接受。</w:t>
            </w:r>
          </w:p>
          <w:p>
            <w:pPr>
              <w:pStyle w:val="105"/>
              <w:spacing w:line="360" w:lineRule="auto"/>
              <w:ind w:firstLine="480" w:firstLineChars="200"/>
              <w:rPr>
                <w:rFonts w:ascii="Times New Roman"/>
                <w:color w:val="auto"/>
              </w:rPr>
            </w:pPr>
            <w:r>
              <w:rPr>
                <w:rFonts w:hint="eastAsia" w:ascii="Times New Roman"/>
                <w:color w:val="auto"/>
              </w:rPr>
              <w:t>营运期：本项目产生的所有生活垃圾收集到本项目垃圾转运站中集中压缩处理，处理后运往垃圾处理站处理；污水收集池污泥定期委托专业公司进行清掏处理。</w:t>
            </w:r>
          </w:p>
          <w:p>
            <w:pPr>
              <w:pStyle w:val="105"/>
              <w:spacing w:line="360" w:lineRule="auto"/>
              <w:ind w:firstLine="480" w:firstLineChars="200"/>
              <w:rPr>
                <w:rFonts w:ascii="Times New Roman"/>
                <w:color w:val="auto"/>
              </w:rPr>
            </w:pPr>
            <w:r>
              <w:rPr>
                <w:rFonts w:hint="eastAsia" w:ascii="Times New Roman"/>
                <w:color w:val="auto"/>
              </w:rPr>
              <w:t>综上，项目产生的固体废物经采取有效措施后对周围环境的影响可以接受。</w:t>
            </w:r>
          </w:p>
          <w:p>
            <w:pPr>
              <w:pStyle w:val="105"/>
              <w:spacing w:line="360" w:lineRule="auto"/>
              <w:ind w:firstLine="480" w:firstLineChars="200"/>
              <w:rPr>
                <w:rFonts w:ascii="Times New Roman"/>
                <w:color w:val="auto"/>
              </w:rPr>
            </w:pPr>
            <w:r>
              <w:rPr>
                <w:rFonts w:hint="eastAsia" w:ascii="Times New Roman"/>
                <w:color w:val="auto"/>
              </w:rPr>
              <w:t>（5）生态环境影响结论</w:t>
            </w:r>
          </w:p>
          <w:p>
            <w:pPr>
              <w:pStyle w:val="105"/>
              <w:spacing w:line="360" w:lineRule="auto"/>
              <w:ind w:firstLine="480" w:firstLineChars="200"/>
              <w:rPr>
                <w:rFonts w:ascii="Times New Roman"/>
                <w:color w:val="auto"/>
              </w:rPr>
            </w:pPr>
            <w:r>
              <w:rPr>
                <w:rFonts w:hint="eastAsia" w:ascii="Times New Roman"/>
                <w:color w:val="auto"/>
              </w:rPr>
              <w:t>经核实，项目不在承德市基本生态控制线范围内。项在做好相关防范措施后，施工期对生态环境影响较小。项目选址处周围植被较单一，无国家保护珍稀动植物及生态敏感保护目标等。项目营运期产生的废气、废水、噪声和固体废物经治理后，对厂址周围生态环境影响较小。</w:t>
            </w:r>
          </w:p>
          <w:p>
            <w:pPr>
              <w:pStyle w:val="105"/>
              <w:spacing w:line="360" w:lineRule="auto"/>
              <w:ind w:firstLine="480" w:firstLineChars="200"/>
              <w:rPr>
                <w:rFonts w:ascii="Times New Roman"/>
                <w:color w:val="auto"/>
              </w:rPr>
            </w:pPr>
            <w:r>
              <w:rPr>
                <w:rFonts w:hint="eastAsia" w:ascii="Times New Roman"/>
                <w:color w:val="auto"/>
              </w:rPr>
              <w:t>综上，项目的建设不会对周围生态环境产生明显影响。</w:t>
            </w:r>
          </w:p>
          <w:p>
            <w:pPr>
              <w:pStyle w:val="105"/>
              <w:spacing w:line="360" w:lineRule="auto"/>
              <w:ind w:firstLine="480" w:firstLineChars="200"/>
              <w:rPr>
                <w:rFonts w:ascii="Times New Roman"/>
                <w:color w:val="auto"/>
              </w:rPr>
            </w:pPr>
            <w:r>
              <w:rPr>
                <w:rFonts w:hint="eastAsia" w:ascii="Times New Roman"/>
                <w:color w:val="auto"/>
              </w:rPr>
              <w:t>（6）环境风险评价</w:t>
            </w:r>
          </w:p>
          <w:p>
            <w:pPr>
              <w:pStyle w:val="105"/>
              <w:spacing w:line="360" w:lineRule="auto"/>
              <w:ind w:firstLine="480" w:firstLineChars="200"/>
              <w:rPr>
                <w:rFonts w:ascii="Times New Roman"/>
                <w:color w:val="auto"/>
              </w:rPr>
            </w:pPr>
            <w:r>
              <w:rPr>
                <w:rFonts w:hint="eastAsia" w:ascii="Times New Roman"/>
                <w:color w:val="auto"/>
              </w:rPr>
              <w:t>本项目营运期间主要的风险性在于火灾风险。本项目营运前应通过消防验收，制订防火措施和应急预案，设置安全疏散通道，安全科学管理，防止火灾风险事故的发生。</w:t>
            </w:r>
          </w:p>
          <w:p>
            <w:pPr>
              <w:snapToGrid w:val="0"/>
              <w:spacing w:line="360" w:lineRule="auto"/>
              <w:ind w:firstLine="482" w:firstLineChars="200"/>
              <w:rPr>
                <w:b/>
                <w:sz w:val="24"/>
                <w:szCs w:val="24"/>
              </w:rPr>
            </w:pPr>
            <w:r>
              <w:rPr>
                <w:rFonts w:hint="eastAsia"/>
                <w:b/>
                <w:sz w:val="24"/>
                <w:szCs w:val="24"/>
              </w:rPr>
              <w:t>4</w:t>
            </w:r>
            <w:r>
              <w:rPr>
                <w:b/>
                <w:sz w:val="24"/>
                <w:szCs w:val="24"/>
              </w:rPr>
              <w:t>、总量控制指标</w:t>
            </w:r>
          </w:p>
          <w:p>
            <w:pPr>
              <w:spacing w:line="360" w:lineRule="auto"/>
              <w:ind w:firstLine="480" w:firstLineChars="200"/>
              <w:rPr>
                <w:sz w:val="24"/>
                <w:szCs w:val="24"/>
              </w:rPr>
            </w:pPr>
            <w:r>
              <w:rPr>
                <w:sz w:val="24"/>
                <w:szCs w:val="24"/>
              </w:rPr>
              <w:t>合本项目的排污特点，</w:t>
            </w:r>
            <w:r>
              <w:rPr>
                <w:rFonts w:hint="eastAsia"/>
                <w:sz w:val="24"/>
                <w:szCs w:val="24"/>
              </w:rPr>
              <w:t>本项目无二氧化硫、氮氧化物和有机废气的产生及排放，不设废气总量控制指标；</w:t>
            </w:r>
            <w:r>
              <w:rPr>
                <w:sz w:val="24"/>
              </w:rPr>
              <w:t>水污染物排放总量由区域性调控解决，本项目不再另行分配COD</w:t>
            </w:r>
            <w:r>
              <w:rPr>
                <w:sz w:val="24"/>
                <w:vertAlign w:val="subscript"/>
              </w:rPr>
              <w:t>Cr</w:t>
            </w:r>
            <w:r>
              <w:rPr>
                <w:sz w:val="24"/>
              </w:rPr>
              <w:t>、氨氮等总量控制指标</w:t>
            </w:r>
            <w:r>
              <w:rPr>
                <w:rFonts w:hint="eastAsia"/>
                <w:sz w:val="24"/>
              </w:rPr>
              <w:t>。</w:t>
            </w:r>
          </w:p>
          <w:p>
            <w:pPr>
              <w:spacing w:line="360" w:lineRule="auto"/>
              <w:ind w:firstLine="482" w:firstLineChars="200"/>
              <w:rPr>
                <w:b/>
                <w:bCs/>
                <w:kern w:val="2"/>
                <w:sz w:val="24"/>
                <w:szCs w:val="24"/>
              </w:rPr>
            </w:pPr>
            <w:r>
              <w:rPr>
                <w:rFonts w:hint="eastAsia"/>
                <w:b/>
                <w:bCs/>
                <w:kern w:val="2"/>
                <w:sz w:val="24"/>
                <w:szCs w:val="24"/>
              </w:rPr>
              <w:t>5、</w:t>
            </w:r>
            <w:r>
              <w:rPr>
                <w:b/>
                <w:bCs/>
                <w:kern w:val="2"/>
                <w:sz w:val="24"/>
                <w:szCs w:val="24"/>
              </w:rPr>
              <w:t>产业政策结论</w:t>
            </w:r>
          </w:p>
          <w:p>
            <w:pPr>
              <w:spacing w:line="360" w:lineRule="auto"/>
              <w:ind w:firstLine="480" w:firstLineChars="200"/>
              <w:rPr>
                <w:sz w:val="24"/>
                <w:szCs w:val="24"/>
              </w:rPr>
            </w:pPr>
            <w:r>
              <w:rPr>
                <w:sz w:val="24"/>
                <w:szCs w:val="24"/>
              </w:rPr>
              <w:t>本项目为</w:t>
            </w:r>
            <w:r>
              <w:rPr>
                <w:rFonts w:hint="eastAsia"/>
                <w:sz w:val="24"/>
                <w:szCs w:val="24"/>
              </w:rPr>
              <w:t>公共设施管理</w:t>
            </w:r>
            <w:r>
              <w:rPr>
                <w:sz w:val="24"/>
                <w:szCs w:val="24"/>
              </w:rPr>
              <w:t>业，不属于《产业结构调整指导目录》（2011年本，2013修订版）及《河北省新增限制和淘汰类产业目录（2015年版）》中的限制类或淘汰类，属于允许类。根据《河北省环境敏感区支持、限制、禁止建设项目名录（2005年版）》，项目不属于限制、禁止类，属于允许类。</w:t>
            </w:r>
          </w:p>
          <w:p>
            <w:pPr>
              <w:spacing w:line="360" w:lineRule="auto"/>
              <w:ind w:firstLine="480" w:firstLineChars="200"/>
              <w:rPr>
                <w:sz w:val="24"/>
                <w:szCs w:val="24"/>
              </w:rPr>
            </w:pPr>
            <w:r>
              <w:rPr>
                <w:rFonts w:hint="eastAsia"/>
                <w:sz w:val="24"/>
                <w:szCs w:val="24"/>
              </w:rPr>
              <w:t>项目已取得承德市鹰手营子矿区发展改革局</w:t>
            </w:r>
            <w:r>
              <w:rPr>
                <w:sz w:val="24"/>
                <w:szCs w:val="24"/>
              </w:rPr>
              <w:t>备案，备案编号：</w:t>
            </w:r>
          </w:p>
          <w:p>
            <w:pPr>
              <w:spacing w:line="360" w:lineRule="auto"/>
              <w:ind w:firstLine="482" w:firstLineChars="200"/>
              <w:rPr>
                <w:b/>
                <w:sz w:val="24"/>
                <w:szCs w:val="24"/>
              </w:rPr>
            </w:pPr>
            <w:r>
              <w:rPr>
                <w:rFonts w:hint="eastAsia"/>
                <w:b/>
                <w:sz w:val="24"/>
                <w:szCs w:val="24"/>
              </w:rPr>
              <w:t>6、选址可行性分析</w:t>
            </w:r>
          </w:p>
          <w:p>
            <w:pPr>
              <w:spacing w:line="360" w:lineRule="auto"/>
              <w:ind w:firstLine="480" w:firstLineChars="200"/>
              <w:rPr>
                <w:bCs/>
                <w:sz w:val="24"/>
                <w:szCs w:val="24"/>
              </w:rPr>
            </w:pPr>
            <w:r>
              <w:rPr>
                <w:rFonts w:hint="eastAsia"/>
                <w:sz w:val="24"/>
                <w:szCs w:val="24"/>
              </w:rPr>
              <w:t>本项目用地属于国有土地，地上无建筑物，没有拆迁量、不涉</w:t>
            </w:r>
            <w:r>
              <w:rPr>
                <w:rFonts w:hint="eastAsia" w:cs="宋体"/>
                <w:sz w:val="24"/>
                <w:szCs w:val="24"/>
              </w:rPr>
              <w:t>及失地农民的安置补偿工作。</w:t>
            </w:r>
            <w:r>
              <w:rPr>
                <w:sz w:val="24"/>
                <w:szCs w:val="24"/>
              </w:rPr>
              <w:t>项目</w:t>
            </w:r>
            <w:r>
              <w:rPr>
                <w:bCs/>
                <w:sz w:val="24"/>
                <w:szCs w:val="24"/>
              </w:rPr>
              <w:t>所在区域无国家规定的自然保护区、风景名胜区、饮用水源地、文物保护单位等其他敏感点分布。</w:t>
            </w:r>
          </w:p>
          <w:p>
            <w:pPr>
              <w:pStyle w:val="105"/>
              <w:spacing w:line="360" w:lineRule="auto"/>
              <w:ind w:firstLine="482" w:firstLineChars="200"/>
              <w:rPr>
                <w:rFonts w:ascii="Times New Roman"/>
                <w:b/>
                <w:color w:val="auto"/>
              </w:rPr>
            </w:pPr>
            <w:r>
              <w:rPr>
                <w:rFonts w:hint="eastAsia" w:ascii="Times New Roman"/>
                <w:b/>
                <w:color w:val="auto"/>
              </w:rPr>
              <w:t>7、综合结论</w:t>
            </w:r>
          </w:p>
          <w:p>
            <w:pPr>
              <w:pStyle w:val="105"/>
              <w:spacing w:line="360" w:lineRule="auto"/>
              <w:ind w:firstLine="480" w:firstLineChars="200"/>
              <w:rPr>
                <w:rFonts w:ascii="Times New Roman"/>
                <w:color w:val="auto"/>
              </w:rPr>
            </w:pPr>
            <w:r>
              <w:rPr>
                <w:rFonts w:hint="eastAsia" w:ascii="Times New Roman"/>
                <w:color w:val="auto"/>
              </w:rPr>
              <w:t>综上所述，</w:t>
            </w:r>
            <w:r>
              <w:rPr>
                <w:rFonts w:hint="eastAsia" w:ascii="Times New Roman"/>
                <w:bCs/>
                <w:color w:val="auto"/>
                <w:lang w:eastAsia="zh-CN"/>
              </w:rPr>
              <w:t>承德市鹰手营子矿区生活垃圾中转站工程项目</w:t>
            </w:r>
            <w:r>
              <w:rPr>
                <w:rFonts w:hint="eastAsia" w:ascii="Times New Roman"/>
                <w:color w:val="auto"/>
              </w:rPr>
              <w:t>在营运期当中能遵守相关的环保法律法规，落实</w:t>
            </w:r>
            <w:r>
              <w:rPr>
                <w:rFonts w:ascii="Times New Roman"/>
                <w:color w:val="auto"/>
              </w:rPr>
              <w:t>“</w:t>
            </w:r>
            <w:r>
              <w:rPr>
                <w:rFonts w:hint="eastAsia" w:ascii="Times New Roman"/>
                <w:color w:val="auto"/>
              </w:rPr>
              <w:t>三同时制度</w:t>
            </w:r>
            <w:r>
              <w:rPr>
                <w:rFonts w:ascii="Times New Roman"/>
                <w:color w:val="auto"/>
              </w:rPr>
              <w:t>”</w:t>
            </w:r>
            <w:r>
              <w:rPr>
                <w:rFonts w:hint="eastAsia" w:ascii="Times New Roman"/>
                <w:color w:val="auto"/>
              </w:rPr>
              <w:t>，切实有效地实施本评价报告所提出的环境保护措施，确保各类污染物达标排放，妥善处理处置各类固体废物，则项目对周围环境的负面影响能够得到有效控制。在此前提下，从环境保护角度分析，项目选址和建设是可行的。</w:t>
            </w:r>
          </w:p>
          <w:bookmarkEnd w:id="19"/>
          <w:p>
            <w:pPr>
              <w:adjustRightInd/>
              <w:spacing w:line="360" w:lineRule="auto"/>
              <w:ind w:firstLine="482" w:firstLineChars="200"/>
              <w:textAlignment w:val="auto"/>
              <w:rPr>
                <w:b/>
                <w:bCs/>
                <w:kern w:val="2"/>
                <w:sz w:val="24"/>
                <w:szCs w:val="24"/>
              </w:rPr>
            </w:pPr>
            <w:r>
              <w:rPr>
                <w:b/>
                <w:bCs/>
                <w:kern w:val="2"/>
                <w:sz w:val="24"/>
                <w:szCs w:val="24"/>
              </w:rPr>
              <w:t>二、建议</w:t>
            </w:r>
          </w:p>
          <w:p>
            <w:pPr>
              <w:pStyle w:val="105"/>
              <w:spacing w:line="360" w:lineRule="auto"/>
              <w:ind w:firstLine="480" w:firstLineChars="200"/>
              <w:rPr>
                <w:rFonts w:ascii="Times New Roman"/>
                <w:color w:val="auto"/>
              </w:rPr>
            </w:pPr>
            <w:r>
              <w:rPr>
                <w:rFonts w:hint="eastAsia" w:ascii="Times New Roman"/>
                <w:color w:val="auto"/>
              </w:rPr>
              <w:t>（</w:t>
            </w:r>
            <w:r>
              <w:rPr>
                <w:rFonts w:ascii="Times New Roman" w:cs="Times New Roman"/>
                <w:color w:val="auto"/>
              </w:rPr>
              <w:t>1</w:t>
            </w:r>
            <w:r>
              <w:rPr>
                <w:rFonts w:hint="eastAsia" w:ascii="Times New Roman"/>
                <w:color w:val="auto"/>
              </w:rPr>
              <w:t>）严格落实本环评所提各项环保措施；</w:t>
            </w:r>
          </w:p>
          <w:p>
            <w:pPr>
              <w:pStyle w:val="105"/>
              <w:spacing w:line="360" w:lineRule="auto"/>
              <w:ind w:firstLine="480" w:firstLineChars="200"/>
              <w:rPr>
                <w:rFonts w:ascii="Times New Roman"/>
                <w:color w:val="auto"/>
              </w:rPr>
            </w:pPr>
            <w:r>
              <w:rPr>
                <w:rFonts w:hint="eastAsia" w:ascii="Times New Roman"/>
                <w:color w:val="auto"/>
              </w:rPr>
              <w:t>（</w:t>
            </w:r>
            <w:r>
              <w:rPr>
                <w:rFonts w:ascii="Times New Roman" w:cs="Times New Roman"/>
                <w:color w:val="auto"/>
              </w:rPr>
              <w:t>2</w:t>
            </w:r>
            <w:r>
              <w:rPr>
                <w:rFonts w:hint="eastAsia" w:ascii="Times New Roman"/>
                <w:color w:val="auto"/>
              </w:rPr>
              <w:t>）做好消防工作，防止发生火灾等意外事故；</w:t>
            </w:r>
          </w:p>
          <w:p>
            <w:pPr>
              <w:pStyle w:val="4"/>
              <w:ind w:firstLine="480"/>
            </w:pPr>
            <w:r>
              <w:rPr>
                <w:rFonts w:hint="eastAsia"/>
              </w:rPr>
              <w:t>（</w:t>
            </w:r>
            <w:r>
              <w:t>3</w:t>
            </w:r>
            <w:r>
              <w:rPr>
                <w:rFonts w:hint="eastAsia"/>
              </w:rPr>
              <w:t>）本次环评仅针对本项目申报内容进行，若该项目今后发生扩大处理规模（包括增加处理工艺）、地址发生变化等情况，应重新委托评价，并经环保管理部门审批。</w:t>
            </w:r>
          </w:p>
          <w:p>
            <w:pPr>
              <w:snapToGrid w:val="0"/>
              <w:spacing w:line="360" w:lineRule="auto"/>
              <w:ind w:firstLine="482" w:firstLineChars="200"/>
              <w:rPr>
                <w:b/>
                <w:sz w:val="24"/>
                <w:szCs w:val="24"/>
              </w:rPr>
            </w:pPr>
            <w:r>
              <w:rPr>
                <w:b/>
                <w:sz w:val="24"/>
                <w:szCs w:val="24"/>
              </w:rPr>
              <w:t>三、建设项目环境保护“三同时”验收内容</w:t>
            </w:r>
          </w:p>
          <w:p>
            <w:pPr>
              <w:pStyle w:val="105"/>
              <w:spacing w:line="360" w:lineRule="auto"/>
              <w:ind w:firstLine="480" w:firstLineChars="200"/>
              <w:rPr>
                <w:rFonts w:ascii="Times New Roman"/>
                <w:color w:val="auto"/>
              </w:rPr>
            </w:pPr>
            <w:r>
              <w:rPr>
                <w:rFonts w:ascii="Times New Roman"/>
                <w:color w:val="auto"/>
              </w:rPr>
              <w:t>建设项目环境保护“三同时”验收一览表见</w:t>
            </w:r>
            <w:r>
              <w:rPr>
                <w:rFonts w:hint="eastAsia" w:ascii="Times New Roman"/>
                <w:color w:val="auto"/>
              </w:rPr>
              <w:t>表</w:t>
            </w:r>
            <w:r>
              <w:rPr>
                <w:rFonts w:ascii="Times New Roman" w:cs="Times New Roman"/>
                <w:color w:val="auto"/>
              </w:rPr>
              <w:t>35</w:t>
            </w:r>
            <w:r>
              <w:rPr>
                <w:rFonts w:hint="eastAsia" w:ascii="Times New Roman"/>
                <w:color w:val="auto"/>
              </w:rPr>
              <w:t>。</w:t>
            </w:r>
          </w:p>
          <w:p>
            <w:pPr>
              <w:spacing w:line="240" w:lineRule="auto"/>
              <w:jc w:val="center"/>
              <w:rPr>
                <w:b/>
                <w:sz w:val="24"/>
                <w:szCs w:val="24"/>
              </w:rPr>
            </w:pPr>
            <w:r>
              <w:rPr>
                <w:sz w:val="24"/>
                <w:szCs w:val="24"/>
              </w:rPr>
              <w:t>表35 建设项目环保“三同时”工程验收一览表</w:t>
            </w:r>
          </w:p>
          <w:tbl>
            <w:tblPr>
              <w:tblStyle w:val="27"/>
              <w:tblpPr w:leftFromText="180" w:rightFromText="180" w:vertAnchor="text" w:horzAnchor="margin" w:tblpXSpec="center" w:tblpY="160"/>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16"/>
              <w:gridCol w:w="1332"/>
              <w:gridCol w:w="2288"/>
              <w:gridCol w:w="524"/>
              <w:gridCol w:w="956"/>
              <w:gridCol w:w="2284"/>
              <w:gridCol w:w="98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5" w:hRule="atLeast"/>
              </w:trPr>
              <w:tc>
                <w:tcPr>
                  <w:tcW w:w="0" w:type="auto"/>
                  <w:vAlign w:val="center"/>
                </w:tcPr>
                <w:p>
                  <w:pPr>
                    <w:spacing w:line="240" w:lineRule="exact"/>
                    <w:jc w:val="center"/>
                    <w:rPr>
                      <w:b/>
                      <w:bCs/>
                      <w:spacing w:val="-10"/>
                      <w:szCs w:val="21"/>
                    </w:rPr>
                  </w:pPr>
                  <w:r>
                    <w:rPr>
                      <w:b/>
                      <w:bCs/>
                      <w:spacing w:val="-10"/>
                      <w:szCs w:val="21"/>
                    </w:rPr>
                    <w:t>类别</w:t>
                  </w:r>
                </w:p>
              </w:tc>
              <w:tc>
                <w:tcPr>
                  <w:tcW w:w="1332" w:type="dxa"/>
                  <w:vAlign w:val="center"/>
                </w:tcPr>
                <w:p>
                  <w:pPr>
                    <w:spacing w:line="240" w:lineRule="exact"/>
                    <w:jc w:val="center"/>
                    <w:rPr>
                      <w:b/>
                      <w:bCs/>
                      <w:spacing w:val="-10"/>
                      <w:szCs w:val="21"/>
                    </w:rPr>
                  </w:pPr>
                  <w:r>
                    <w:rPr>
                      <w:rFonts w:hint="eastAsia"/>
                      <w:b/>
                      <w:bCs/>
                      <w:spacing w:val="-10"/>
                      <w:szCs w:val="21"/>
                    </w:rPr>
                    <w:t>污染源</w:t>
                  </w:r>
                </w:p>
              </w:tc>
              <w:tc>
                <w:tcPr>
                  <w:tcW w:w="2288" w:type="dxa"/>
                  <w:vAlign w:val="center"/>
                </w:tcPr>
                <w:p>
                  <w:pPr>
                    <w:spacing w:line="240" w:lineRule="exact"/>
                    <w:jc w:val="center"/>
                    <w:rPr>
                      <w:b/>
                      <w:bCs/>
                      <w:spacing w:val="-10"/>
                      <w:szCs w:val="21"/>
                    </w:rPr>
                  </w:pPr>
                  <w:r>
                    <w:rPr>
                      <w:b/>
                      <w:bCs/>
                      <w:spacing w:val="-10"/>
                      <w:szCs w:val="21"/>
                    </w:rPr>
                    <w:t>环保措施</w:t>
                  </w:r>
                </w:p>
              </w:tc>
              <w:tc>
                <w:tcPr>
                  <w:tcW w:w="524" w:type="dxa"/>
                  <w:vAlign w:val="center"/>
                </w:tcPr>
                <w:p>
                  <w:pPr>
                    <w:spacing w:line="240" w:lineRule="exact"/>
                    <w:jc w:val="center"/>
                    <w:rPr>
                      <w:b/>
                      <w:bCs/>
                      <w:spacing w:val="-10"/>
                      <w:szCs w:val="21"/>
                    </w:rPr>
                  </w:pPr>
                  <w:r>
                    <w:rPr>
                      <w:rFonts w:hint="eastAsia"/>
                      <w:b/>
                      <w:bCs/>
                      <w:spacing w:val="-10"/>
                      <w:szCs w:val="21"/>
                    </w:rPr>
                    <w:t>数量</w:t>
                  </w:r>
                </w:p>
              </w:tc>
              <w:tc>
                <w:tcPr>
                  <w:tcW w:w="0" w:type="auto"/>
                  <w:vAlign w:val="center"/>
                </w:tcPr>
                <w:p>
                  <w:pPr>
                    <w:spacing w:line="240" w:lineRule="exact"/>
                    <w:jc w:val="center"/>
                    <w:rPr>
                      <w:b/>
                      <w:bCs/>
                      <w:spacing w:val="-10"/>
                      <w:szCs w:val="21"/>
                    </w:rPr>
                  </w:pPr>
                  <w:r>
                    <w:rPr>
                      <w:rFonts w:hint="eastAsia"/>
                      <w:b/>
                      <w:bCs/>
                      <w:spacing w:val="-10"/>
                      <w:szCs w:val="21"/>
                    </w:rPr>
                    <w:t>治理效果</w:t>
                  </w:r>
                </w:p>
              </w:tc>
              <w:tc>
                <w:tcPr>
                  <w:tcW w:w="2284" w:type="dxa"/>
                  <w:vAlign w:val="center"/>
                </w:tcPr>
                <w:p>
                  <w:pPr>
                    <w:spacing w:line="240" w:lineRule="exact"/>
                    <w:jc w:val="center"/>
                    <w:rPr>
                      <w:b/>
                      <w:bCs/>
                      <w:spacing w:val="-10"/>
                      <w:szCs w:val="21"/>
                    </w:rPr>
                  </w:pPr>
                  <w:r>
                    <w:rPr>
                      <w:b/>
                      <w:bCs/>
                      <w:spacing w:val="-10"/>
                      <w:szCs w:val="21"/>
                    </w:rPr>
                    <w:t>验收标准</w:t>
                  </w:r>
                </w:p>
              </w:tc>
              <w:tc>
                <w:tcPr>
                  <w:tcW w:w="983" w:type="dxa"/>
                  <w:vAlign w:val="center"/>
                </w:tcPr>
                <w:p>
                  <w:pPr>
                    <w:spacing w:line="240" w:lineRule="exact"/>
                    <w:jc w:val="center"/>
                    <w:rPr>
                      <w:b/>
                      <w:bCs/>
                      <w:spacing w:val="-10"/>
                      <w:szCs w:val="21"/>
                    </w:rPr>
                  </w:pPr>
                  <w:r>
                    <w:rPr>
                      <w:rFonts w:hint="eastAsia"/>
                      <w:b/>
                      <w:bCs/>
                      <w:spacing w:val="-10"/>
                      <w:szCs w:val="21"/>
                    </w:rPr>
                    <w:t>投资</w:t>
                  </w:r>
                </w:p>
                <w:p>
                  <w:pPr>
                    <w:spacing w:line="240" w:lineRule="exact"/>
                    <w:jc w:val="center"/>
                    <w:rPr>
                      <w:b/>
                      <w:bCs/>
                      <w:spacing w:val="-10"/>
                      <w:szCs w:val="21"/>
                    </w:rPr>
                  </w:pPr>
                  <w:r>
                    <w:rPr>
                      <w:rFonts w:hint="eastAsia"/>
                      <w:b/>
                      <w:bCs/>
                      <w:spacing w:val="-10"/>
                      <w:szCs w:val="21"/>
                    </w:rPr>
                    <w:t>（万元）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01" w:hRule="atLeast"/>
              </w:trPr>
              <w:tc>
                <w:tcPr>
                  <w:tcW w:w="0" w:type="auto"/>
                  <w:vMerge w:val="restart"/>
                  <w:vAlign w:val="center"/>
                </w:tcPr>
                <w:p>
                  <w:pPr>
                    <w:spacing w:line="240" w:lineRule="exact"/>
                    <w:jc w:val="center"/>
                    <w:rPr>
                      <w:b/>
                      <w:bCs/>
                      <w:spacing w:val="-10"/>
                      <w:szCs w:val="21"/>
                    </w:rPr>
                  </w:pPr>
                  <w:r>
                    <w:rPr>
                      <w:rFonts w:hint="eastAsia"/>
                      <w:b/>
                      <w:bCs/>
                      <w:spacing w:val="-10"/>
                      <w:szCs w:val="21"/>
                    </w:rPr>
                    <w:t>废气</w:t>
                  </w:r>
                </w:p>
              </w:tc>
              <w:tc>
                <w:tcPr>
                  <w:tcW w:w="1332" w:type="dxa"/>
                  <w:vAlign w:val="center"/>
                </w:tcPr>
                <w:p>
                  <w:pPr>
                    <w:snapToGrid w:val="0"/>
                    <w:spacing w:line="240" w:lineRule="exact"/>
                    <w:jc w:val="center"/>
                    <w:rPr>
                      <w:szCs w:val="21"/>
                    </w:rPr>
                  </w:pPr>
                  <w:r>
                    <w:rPr>
                      <w:rFonts w:hint="eastAsia"/>
                      <w:szCs w:val="21"/>
                    </w:rPr>
                    <w:t>主城区垃圾转运站有组织恶臭</w:t>
                  </w:r>
                </w:p>
              </w:tc>
              <w:tc>
                <w:tcPr>
                  <w:tcW w:w="2288" w:type="dxa"/>
                  <w:vMerge w:val="restart"/>
                  <w:vAlign w:val="center"/>
                </w:tcPr>
                <w:p>
                  <w:pPr>
                    <w:spacing w:line="240" w:lineRule="exact"/>
                    <w:jc w:val="center"/>
                    <w:rPr>
                      <w:szCs w:val="21"/>
                    </w:rPr>
                  </w:pPr>
                  <w:r>
                    <w:rPr>
                      <w:rFonts w:hint="eastAsia"/>
                      <w:szCs w:val="21"/>
                    </w:rPr>
                    <w:t>采用“负压抽风净化+雾化喷淋+生物除臭剂技术”，</w:t>
                  </w:r>
                  <w:r>
                    <w:rPr>
                      <w:rFonts w:hint="eastAsia"/>
                      <w:bCs/>
                      <w:szCs w:val="21"/>
                    </w:rPr>
                    <w:t>处理后通过15m排气筒排放</w:t>
                  </w:r>
                </w:p>
              </w:tc>
              <w:tc>
                <w:tcPr>
                  <w:tcW w:w="524" w:type="dxa"/>
                  <w:vAlign w:val="center"/>
                </w:tcPr>
                <w:p>
                  <w:pPr>
                    <w:pStyle w:val="105"/>
                    <w:spacing w:line="240" w:lineRule="exact"/>
                    <w:jc w:val="center"/>
                    <w:rPr>
                      <w:rFonts w:ascii="Times New Roman"/>
                      <w:color w:val="auto"/>
                      <w:sz w:val="21"/>
                      <w:szCs w:val="21"/>
                    </w:rPr>
                  </w:pPr>
                  <w:r>
                    <w:rPr>
                      <w:rFonts w:ascii="Times New Roman"/>
                      <w:color w:val="auto"/>
                      <w:sz w:val="21"/>
                      <w:szCs w:val="21"/>
                    </w:rPr>
                    <w:t>1</w:t>
                  </w:r>
                  <w:r>
                    <w:rPr>
                      <w:rFonts w:hint="eastAsia" w:ascii="Times New Roman"/>
                      <w:color w:val="auto"/>
                      <w:sz w:val="21"/>
                      <w:szCs w:val="21"/>
                    </w:rPr>
                    <w:t>套</w:t>
                  </w:r>
                </w:p>
              </w:tc>
              <w:tc>
                <w:tcPr>
                  <w:tcW w:w="0" w:type="auto"/>
                  <w:vMerge w:val="restart"/>
                  <w:vAlign w:val="center"/>
                </w:tcPr>
                <w:p>
                  <w:pPr>
                    <w:pStyle w:val="105"/>
                    <w:spacing w:line="240" w:lineRule="exact"/>
                    <w:jc w:val="center"/>
                    <w:rPr>
                      <w:rFonts w:ascii="Times New Roman"/>
                      <w:color w:val="auto"/>
                      <w:sz w:val="21"/>
                      <w:szCs w:val="21"/>
                    </w:rPr>
                  </w:pPr>
                  <w:r>
                    <w:rPr>
                      <w:rFonts w:hint="eastAsia" w:ascii="Times New Roman"/>
                      <w:color w:val="auto"/>
                      <w:sz w:val="21"/>
                      <w:szCs w:val="21"/>
                    </w:rPr>
                    <w:t>达标排放</w:t>
                  </w:r>
                </w:p>
              </w:tc>
              <w:tc>
                <w:tcPr>
                  <w:tcW w:w="2284" w:type="dxa"/>
                  <w:vMerge w:val="restart"/>
                  <w:vAlign w:val="center"/>
                </w:tcPr>
                <w:p>
                  <w:pPr>
                    <w:pStyle w:val="105"/>
                    <w:spacing w:line="240" w:lineRule="exact"/>
                    <w:jc w:val="center"/>
                    <w:rPr>
                      <w:rFonts w:ascii="Times New Roman"/>
                      <w:color w:val="auto"/>
                      <w:sz w:val="21"/>
                      <w:szCs w:val="21"/>
                    </w:rPr>
                  </w:pPr>
                  <w:r>
                    <w:rPr>
                      <w:rFonts w:hint="eastAsia" w:ascii="Times New Roman"/>
                      <w:color w:val="auto"/>
                      <w:sz w:val="21"/>
                      <w:szCs w:val="21"/>
                    </w:rPr>
                    <w:t>《恶臭污染物排放标准》（</w:t>
                  </w:r>
                  <w:r>
                    <w:rPr>
                      <w:rFonts w:ascii="Times New Roman" w:cs="Times New Roman"/>
                      <w:color w:val="auto"/>
                      <w:sz w:val="21"/>
                      <w:szCs w:val="21"/>
                    </w:rPr>
                    <w:t>GB14554-93</w:t>
                  </w:r>
                  <w:r>
                    <w:rPr>
                      <w:rFonts w:hint="eastAsia" w:ascii="Times New Roman"/>
                      <w:color w:val="auto"/>
                      <w:sz w:val="21"/>
                      <w:szCs w:val="21"/>
                    </w:rPr>
                    <w:t>）表</w:t>
                  </w:r>
                  <w:r>
                    <w:rPr>
                      <w:rFonts w:ascii="Times New Roman" w:cs="Times New Roman"/>
                      <w:color w:val="auto"/>
                      <w:sz w:val="21"/>
                      <w:szCs w:val="21"/>
                    </w:rPr>
                    <w:t>2</w:t>
                  </w:r>
                  <w:r>
                    <w:rPr>
                      <w:rFonts w:hint="eastAsia" w:ascii="Times New Roman"/>
                      <w:color w:val="auto"/>
                      <w:sz w:val="21"/>
                      <w:szCs w:val="21"/>
                    </w:rPr>
                    <w:t>污染物排放标准</w:t>
                  </w:r>
                </w:p>
              </w:tc>
              <w:tc>
                <w:tcPr>
                  <w:tcW w:w="983" w:type="dxa"/>
                  <w:vMerge w:val="restart"/>
                  <w:vAlign w:val="center"/>
                </w:tcPr>
                <w:p>
                  <w:pPr>
                    <w:pStyle w:val="105"/>
                    <w:spacing w:line="240" w:lineRule="exact"/>
                    <w:jc w:val="center"/>
                    <w:rPr>
                      <w:rFonts w:ascii="Times New Roman" w:cs="Times New Roman"/>
                      <w:bCs/>
                      <w:color w:val="auto"/>
                      <w:sz w:val="21"/>
                      <w:szCs w:val="21"/>
                    </w:rPr>
                  </w:pPr>
                  <w:r>
                    <w:rPr>
                      <w:rFonts w:ascii="Times New Roman" w:cs="Times New Roman"/>
                      <w:bCs/>
                      <w:color w:val="auto"/>
                      <w:sz w:val="21"/>
                      <w:szCs w:val="21"/>
                    </w:rPr>
                    <w:t>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98" w:hRule="atLeast"/>
              </w:trPr>
              <w:tc>
                <w:tcPr>
                  <w:tcW w:w="0" w:type="auto"/>
                  <w:vMerge w:val="continue"/>
                  <w:vAlign w:val="center"/>
                </w:tcPr>
                <w:p>
                  <w:pPr>
                    <w:spacing w:line="240" w:lineRule="exact"/>
                    <w:jc w:val="center"/>
                    <w:rPr>
                      <w:b/>
                      <w:bCs/>
                      <w:spacing w:val="-10"/>
                      <w:szCs w:val="21"/>
                    </w:rPr>
                  </w:pPr>
                </w:p>
              </w:tc>
              <w:tc>
                <w:tcPr>
                  <w:tcW w:w="1332" w:type="dxa"/>
                  <w:vAlign w:val="center"/>
                </w:tcPr>
                <w:p>
                  <w:pPr>
                    <w:snapToGrid w:val="0"/>
                    <w:spacing w:line="240" w:lineRule="exact"/>
                    <w:jc w:val="center"/>
                    <w:rPr>
                      <w:szCs w:val="21"/>
                    </w:rPr>
                  </w:pPr>
                  <w:r>
                    <w:rPr>
                      <w:rFonts w:hint="eastAsia"/>
                      <w:szCs w:val="21"/>
                    </w:rPr>
                    <w:t>寿王坟镇垃圾转运站有组织恶臭</w:t>
                  </w:r>
                </w:p>
              </w:tc>
              <w:tc>
                <w:tcPr>
                  <w:tcW w:w="2288" w:type="dxa"/>
                  <w:vMerge w:val="continue"/>
                  <w:vAlign w:val="center"/>
                </w:tcPr>
                <w:p>
                  <w:pPr>
                    <w:spacing w:line="240" w:lineRule="exact"/>
                    <w:jc w:val="center"/>
                    <w:rPr>
                      <w:szCs w:val="21"/>
                    </w:rPr>
                  </w:pPr>
                </w:p>
              </w:tc>
              <w:tc>
                <w:tcPr>
                  <w:tcW w:w="524" w:type="dxa"/>
                  <w:vAlign w:val="center"/>
                </w:tcPr>
                <w:p>
                  <w:pPr>
                    <w:pStyle w:val="105"/>
                    <w:spacing w:line="240" w:lineRule="exact"/>
                    <w:jc w:val="center"/>
                    <w:rPr>
                      <w:rFonts w:ascii="Times New Roman"/>
                      <w:color w:val="auto"/>
                      <w:sz w:val="21"/>
                      <w:szCs w:val="21"/>
                    </w:rPr>
                  </w:pPr>
                  <w:r>
                    <w:rPr>
                      <w:rFonts w:ascii="Times New Roman"/>
                      <w:color w:val="auto"/>
                      <w:sz w:val="21"/>
                      <w:szCs w:val="21"/>
                    </w:rPr>
                    <w:t>1</w:t>
                  </w:r>
                  <w:r>
                    <w:rPr>
                      <w:rFonts w:hint="eastAsia" w:ascii="Times New Roman"/>
                      <w:color w:val="auto"/>
                      <w:sz w:val="21"/>
                      <w:szCs w:val="21"/>
                    </w:rPr>
                    <w:t>套</w:t>
                  </w:r>
                </w:p>
              </w:tc>
              <w:tc>
                <w:tcPr>
                  <w:tcW w:w="0" w:type="auto"/>
                  <w:vMerge w:val="continue"/>
                  <w:vAlign w:val="center"/>
                </w:tcPr>
                <w:p>
                  <w:pPr>
                    <w:pStyle w:val="105"/>
                    <w:spacing w:line="240" w:lineRule="exact"/>
                    <w:jc w:val="center"/>
                    <w:rPr>
                      <w:rFonts w:ascii="Times New Roman"/>
                      <w:color w:val="auto"/>
                      <w:sz w:val="21"/>
                      <w:szCs w:val="21"/>
                    </w:rPr>
                  </w:pPr>
                </w:p>
              </w:tc>
              <w:tc>
                <w:tcPr>
                  <w:tcW w:w="2284" w:type="dxa"/>
                  <w:vMerge w:val="continue"/>
                  <w:vAlign w:val="center"/>
                </w:tcPr>
                <w:p>
                  <w:pPr>
                    <w:pStyle w:val="105"/>
                    <w:spacing w:line="240" w:lineRule="exact"/>
                    <w:jc w:val="center"/>
                    <w:rPr>
                      <w:rFonts w:ascii="Times New Roman"/>
                      <w:color w:val="auto"/>
                      <w:sz w:val="21"/>
                      <w:szCs w:val="21"/>
                    </w:rPr>
                  </w:pPr>
                </w:p>
              </w:tc>
              <w:tc>
                <w:tcPr>
                  <w:tcW w:w="983" w:type="dxa"/>
                  <w:vMerge w:val="continue"/>
                  <w:vAlign w:val="center"/>
                </w:tcPr>
                <w:p>
                  <w:pPr>
                    <w:pStyle w:val="105"/>
                    <w:spacing w:line="240" w:lineRule="exact"/>
                    <w:jc w:val="center"/>
                    <w:rPr>
                      <w:rFonts w:ascii="Times New Roman" w:cs="Times New Roman"/>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4" w:hRule="atLeast"/>
              </w:trPr>
              <w:tc>
                <w:tcPr>
                  <w:tcW w:w="0" w:type="auto"/>
                  <w:vMerge w:val="continue"/>
                  <w:vAlign w:val="center"/>
                </w:tcPr>
                <w:p>
                  <w:pPr>
                    <w:spacing w:line="240" w:lineRule="exact"/>
                    <w:jc w:val="center"/>
                    <w:rPr>
                      <w:b/>
                      <w:bCs/>
                      <w:spacing w:val="-10"/>
                      <w:szCs w:val="21"/>
                    </w:rPr>
                  </w:pPr>
                </w:p>
              </w:tc>
              <w:tc>
                <w:tcPr>
                  <w:tcW w:w="1332" w:type="dxa"/>
                  <w:vAlign w:val="center"/>
                </w:tcPr>
                <w:p>
                  <w:pPr>
                    <w:snapToGrid w:val="0"/>
                    <w:spacing w:line="240" w:lineRule="exact"/>
                    <w:jc w:val="center"/>
                    <w:rPr>
                      <w:szCs w:val="21"/>
                    </w:rPr>
                  </w:pPr>
                  <w:r>
                    <w:rPr>
                      <w:rFonts w:hint="eastAsia"/>
                      <w:szCs w:val="21"/>
                    </w:rPr>
                    <w:t>主城区垃圾转运站无组织恶臭</w:t>
                  </w:r>
                </w:p>
              </w:tc>
              <w:tc>
                <w:tcPr>
                  <w:tcW w:w="2288" w:type="dxa"/>
                  <w:vMerge w:val="restart"/>
                  <w:vAlign w:val="center"/>
                </w:tcPr>
                <w:p>
                  <w:pPr>
                    <w:spacing w:line="240" w:lineRule="exact"/>
                    <w:jc w:val="center"/>
                    <w:rPr>
                      <w:szCs w:val="21"/>
                    </w:rPr>
                  </w:pPr>
                  <w:r>
                    <w:rPr>
                      <w:rFonts w:hint="eastAsia"/>
                      <w:szCs w:val="21"/>
                    </w:rPr>
                    <w:t>车间安装雾化喷淋系统可有效压制恶臭气体</w:t>
                  </w:r>
                </w:p>
              </w:tc>
              <w:tc>
                <w:tcPr>
                  <w:tcW w:w="524" w:type="dxa"/>
                  <w:vAlign w:val="center"/>
                </w:tcPr>
                <w:p>
                  <w:pPr>
                    <w:pStyle w:val="105"/>
                    <w:spacing w:line="240" w:lineRule="exact"/>
                    <w:jc w:val="center"/>
                    <w:rPr>
                      <w:rFonts w:ascii="Times New Roman"/>
                      <w:color w:val="auto"/>
                      <w:sz w:val="21"/>
                      <w:szCs w:val="21"/>
                    </w:rPr>
                  </w:pPr>
                  <w:r>
                    <w:rPr>
                      <w:rFonts w:ascii="Times New Roman"/>
                      <w:color w:val="auto"/>
                      <w:sz w:val="21"/>
                      <w:szCs w:val="21"/>
                    </w:rPr>
                    <w:t>1</w:t>
                  </w:r>
                  <w:r>
                    <w:rPr>
                      <w:rFonts w:hint="eastAsia" w:ascii="Times New Roman"/>
                      <w:color w:val="auto"/>
                      <w:sz w:val="21"/>
                      <w:szCs w:val="21"/>
                    </w:rPr>
                    <w:t>套</w:t>
                  </w:r>
                </w:p>
              </w:tc>
              <w:tc>
                <w:tcPr>
                  <w:tcW w:w="0" w:type="auto"/>
                  <w:vMerge w:val="restart"/>
                  <w:vAlign w:val="center"/>
                </w:tcPr>
                <w:p>
                  <w:pPr>
                    <w:pStyle w:val="105"/>
                    <w:spacing w:line="240" w:lineRule="exact"/>
                    <w:jc w:val="center"/>
                    <w:rPr>
                      <w:rFonts w:ascii="Times New Roman"/>
                      <w:color w:val="auto"/>
                      <w:sz w:val="21"/>
                      <w:szCs w:val="21"/>
                    </w:rPr>
                  </w:pPr>
                  <w:r>
                    <w:rPr>
                      <w:rFonts w:hint="eastAsia" w:ascii="Times New Roman"/>
                      <w:color w:val="auto"/>
                      <w:sz w:val="21"/>
                      <w:szCs w:val="21"/>
                    </w:rPr>
                    <w:t>达标排放</w:t>
                  </w:r>
                </w:p>
              </w:tc>
              <w:tc>
                <w:tcPr>
                  <w:tcW w:w="2284" w:type="dxa"/>
                  <w:vMerge w:val="restart"/>
                  <w:vAlign w:val="center"/>
                </w:tcPr>
                <w:p>
                  <w:pPr>
                    <w:pStyle w:val="105"/>
                    <w:spacing w:line="240" w:lineRule="exact"/>
                    <w:jc w:val="center"/>
                    <w:rPr>
                      <w:rFonts w:ascii="Times New Roman"/>
                      <w:color w:val="auto"/>
                      <w:sz w:val="21"/>
                      <w:szCs w:val="21"/>
                    </w:rPr>
                  </w:pPr>
                  <w:r>
                    <w:rPr>
                      <w:rFonts w:hint="eastAsia" w:ascii="Times New Roman"/>
                      <w:color w:val="auto"/>
                      <w:sz w:val="21"/>
                      <w:szCs w:val="21"/>
                    </w:rPr>
                    <w:t>《恶臭污染物排放标准》（</w:t>
                  </w:r>
                  <w:r>
                    <w:rPr>
                      <w:rFonts w:ascii="Times New Roman"/>
                      <w:color w:val="auto"/>
                      <w:sz w:val="21"/>
                      <w:szCs w:val="21"/>
                    </w:rPr>
                    <w:t>GB14554-93</w:t>
                  </w:r>
                  <w:r>
                    <w:rPr>
                      <w:rFonts w:hint="eastAsia" w:ascii="Times New Roman"/>
                      <w:color w:val="auto"/>
                      <w:sz w:val="21"/>
                      <w:szCs w:val="21"/>
                    </w:rPr>
                    <w:t>）表</w:t>
                  </w:r>
                  <w:r>
                    <w:rPr>
                      <w:rFonts w:ascii="Times New Roman"/>
                      <w:color w:val="auto"/>
                      <w:sz w:val="21"/>
                      <w:szCs w:val="21"/>
                    </w:rPr>
                    <w:t>1</w:t>
                  </w:r>
                  <w:r>
                    <w:rPr>
                      <w:rFonts w:hint="eastAsia" w:ascii="Times New Roman"/>
                      <w:color w:val="auto"/>
                      <w:sz w:val="21"/>
                      <w:szCs w:val="21"/>
                    </w:rPr>
                    <w:t>污染物排放标准</w:t>
                  </w:r>
                </w:p>
              </w:tc>
              <w:tc>
                <w:tcPr>
                  <w:tcW w:w="983" w:type="dxa"/>
                  <w:vMerge w:val="continue"/>
                  <w:vAlign w:val="center"/>
                </w:tcPr>
                <w:p>
                  <w:pPr>
                    <w:pStyle w:val="105"/>
                    <w:spacing w:line="240" w:lineRule="exact"/>
                    <w:ind w:firstLine="480"/>
                    <w:jc w:val="center"/>
                    <w:rPr>
                      <w:rFonts w:ascii="Times New Roman" w:cs="Times New Roman"/>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trPr>
              <w:tc>
                <w:tcPr>
                  <w:tcW w:w="0" w:type="auto"/>
                  <w:vMerge w:val="continue"/>
                  <w:vAlign w:val="center"/>
                </w:tcPr>
                <w:p>
                  <w:pPr>
                    <w:spacing w:line="240" w:lineRule="exact"/>
                    <w:jc w:val="center"/>
                    <w:rPr>
                      <w:b/>
                      <w:bCs/>
                      <w:spacing w:val="-10"/>
                      <w:szCs w:val="21"/>
                    </w:rPr>
                  </w:pPr>
                </w:p>
              </w:tc>
              <w:tc>
                <w:tcPr>
                  <w:tcW w:w="1332" w:type="dxa"/>
                  <w:vAlign w:val="center"/>
                </w:tcPr>
                <w:p>
                  <w:pPr>
                    <w:snapToGrid w:val="0"/>
                    <w:spacing w:line="240" w:lineRule="exact"/>
                    <w:jc w:val="center"/>
                    <w:rPr>
                      <w:szCs w:val="21"/>
                    </w:rPr>
                  </w:pPr>
                  <w:r>
                    <w:rPr>
                      <w:rFonts w:hint="eastAsia"/>
                      <w:szCs w:val="21"/>
                    </w:rPr>
                    <w:t>寿王坟镇垃圾转运站无组织恶臭</w:t>
                  </w:r>
                </w:p>
              </w:tc>
              <w:tc>
                <w:tcPr>
                  <w:tcW w:w="2288" w:type="dxa"/>
                  <w:vMerge w:val="continue"/>
                  <w:vAlign w:val="center"/>
                </w:tcPr>
                <w:p>
                  <w:pPr>
                    <w:spacing w:line="240" w:lineRule="exact"/>
                    <w:jc w:val="center"/>
                    <w:rPr>
                      <w:szCs w:val="21"/>
                    </w:rPr>
                  </w:pPr>
                </w:p>
              </w:tc>
              <w:tc>
                <w:tcPr>
                  <w:tcW w:w="524" w:type="dxa"/>
                  <w:vAlign w:val="center"/>
                </w:tcPr>
                <w:p>
                  <w:pPr>
                    <w:pStyle w:val="105"/>
                    <w:spacing w:line="240" w:lineRule="exact"/>
                    <w:jc w:val="center"/>
                    <w:rPr>
                      <w:rFonts w:ascii="Times New Roman"/>
                      <w:color w:val="auto"/>
                      <w:sz w:val="21"/>
                      <w:szCs w:val="21"/>
                    </w:rPr>
                  </w:pPr>
                  <w:r>
                    <w:rPr>
                      <w:rFonts w:ascii="Times New Roman"/>
                      <w:color w:val="auto"/>
                      <w:sz w:val="21"/>
                      <w:szCs w:val="21"/>
                    </w:rPr>
                    <w:t>1</w:t>
                  </w:r>
                  <w:r>
                    <w:rPr>
                      <w:rFonts w:hint="eastAsia" w:ascii="Times New Roman"/>
                      <w:color w:val="auto"/>
                      <w:sz w:val="21"/>
                      <w:szCs w:val="21"/>
                    </w:rPr>
                    <w:t>套</w:t>
                  </w:r>
                </w:p>
              </w:tc>
              <w:tc>
                <w:tcPr>
                  <w:tcW w:w="0" w:type="auto"/>
                  <w:vMerge w:val="continue"/>
                  <w:vAlign w:val="center"/>
                </w:tcPr>
                <w:p>
                  <w:pPr>
                    <w:pStyle w:val="105"/>
                    <w:spacing w:line="240" w:lineRule="exact"/>
                    <w:jc w:val="center"/>
                    <w:rPr>
                      <w:rFonts w:ascii="Times New Roman"/>
                      <w:color w:val="auto"/>
                      <w:sz w:val="21"/>
                      <w:szCs w:val="21"/>
                    </w:rPr>
                  </w:pPr>
                </w:p>
              </w:tc>
              <w:tc>
                <w:tcPr>
                  <w:tcW w:w="2284" w:type="dxa"/>
                  <w:vMerge w:val="continue"/>
                  <w:vAlign w:val="center"/>
                </w:tcPr>
                <w:p>
                  <w:pPr>
                    <w:pStyle w:val="105"/>
                    <w:spacing w:line="240" w:lineRule="exact"/>
                    <w:ind w:firstLine="480"/>
                    <w:jc w:val="center"/>
                    <w:rPr>
                      <w:rFonts w:ascii="Times New Roman"/>
                      <w:color w:val="auto"/>
                      <w:sz w:val="21"/>
                      <w:szCs w:val="21"/>
                    </w:rPr>
                  </w:pPr>
                </w:p>
              </w:tc>
              <w:tc>
                <w:tcPr>
                  <w:tcW w:w="983" w:type="dxa"/>
                  <w:vMerge w:val="continue"/>
                  <w:vAlign w:val="center"/>
                </w:tcPr>
                <w:p>
                  <w:pPr>
                    <w:pStyle w:val="105"/>
                    <w:spacing w:line="240" w:lineRule="exact"/>
                    <w:ind w:firstLine="480"/>
                    <w:jc w:val="center"/>
                    <w:rPr>
                      <w:rFonts w:ascii="Times New Roman" w:cs="Times New Roman"/>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11" w:hRule="atLeast"/>
              </w:trPr>
              <w:tc>
                <w:tcPr>
                  <w:tcW w:w="0" w:type="auto"/>
                  <w:vMerge w:val="continue"/>
                  <w:vAlign w:val="center"/>
                </w:tcPr>
                <w:p>
                  <w:pPr>
                    <w:spacing w:line="240" w:lineRule="exact"/>
                    <w:jc w:val="center"/>
                    <w:rPr>
                      <w:b/>
                      <w:bCs/>
                      <w:spacing w:val="-10"/>
                      <w:szCs w:val="21"/>
                    </w:rPr>
                  </w:pPr>
                </w:p>
              </w:tc>
              <w:tc>
                <w:tcPr>
                  <w:tcW w:w="1332" w:type="dxa"/>
                  <w:vAlign w:val="center"/>
                </w:tcPr>
                <w:p>
                  <w:pPr>
                    <w:snapToGrid w:val="0"/>
                    <w:spacing w:line="240" w:lineRule="exact"/>
                    <w:jc w:val="center"/>
                    <w:rPr>
                      <w:szCs w:val="21"/>
                    </w:rPr>
                  </w:pPr>
                  <w:r>
                    <w:rPr>
                      <w:rFonts w:hint="eastAsia"/>
                      <w:szCs w:val="21"/>
                    </w:rPr>
                    <w:t>餐厅油烟</w:t>
                  </w:r>
                </w:p>
              </w:tc>
              <w:tc>
                <w:tcPr>
                  <w:tcW w:w="2288" w:type="dxa"/>
                  <w:vAlign w:val="center"/>
                </w:tcPr>
                <w:p>
                  <w:pPr>
                    <w:spacing w:line="240" w:lineRule="exact"/>
                    <w:jc w:val="center"/>
                    <w:rPr>
                      <w:bCs/>
                      <w:szCs w:val="21"/>
                    </w:rPr>
                  </w:pPr>
                  <w:r>
                    <w:rPr>
                      <w:rFonts w:hint="eastAsia"/>
                      <w:bCs/>
                      <w:szCs w:val="21"/>
                    </w:rPr>
                    <w:t>油烟净化系统</w:t>
                  </w:r>
                </w:p>
              </w:tc>
              <w:tc>
                <w:tcPr>
                  <w:tcW w:w="524" w:type="dxa"/>
                  <w:vAlign w:val="center"/>
                </w:tcPr>
                <w:p>
                  <w:pPr>
                    <w:pStyle w:val="105"/>
                    <w:spacing w:line="240" w:lineRule="exact"/>
                    <w:jc w:val="center"/>
                    <w:rPr>
                      <w:rFonts w:ascii="Times New Roman"/>
                      <w:color w:val="auto"/>
                      <w:sz w:val="21"/>
                      <w:szCs w:val="21"/>
                    </w:rPr>
                  </w:pPr>
                  <w:r>
                    <w:rPr>
                      <w:rFonts w:hint="eastAsia" w:ascii="Times New Roman"/>
                      <w:color w:val="auto"/>
                      <w:sz w:val="21"/>
                      <w:szCs w:val="21"/>
                    </w:rPr>
                    <w:t>1套</w:t>
                  </w:r>
                </w:p>
              </w:tc>
              <w:tc>
                <w:tcPr>
                  <w:tcW w:w="0" w:type="auto"/>
                  <w:vAlign w:val="center"/>
                </w:tcPr>
                <w:p>
                  <w:pPr>
                    <w:pStyle w:val="105"/>
                    <w:spacing w:line="240" w:lineRule="exact"/>
                    <w:jc w:val="center"/>
                    <w:rPr>
                      <w:rFonts w:ascii="Times New Roman"/>
                      <w:color w:val="auto"/>
                      <w:sz w:val="21"/>
                      <w:szCs w:val="21"/>
                    </w:rPr>
                  </w:pPr>
                  <w:r>
                    <w:rPr>
                      <w:rFonts w:hint="eastAsia" w:ascii="Times New Roman"/>
                      <w:color w:val="auto"/>
                      <w:sz w:val="21"/>
                      <w:szCs w:val="21"/>
                    </w:rPr>
                    <w:t>达标排放</w:t>
                  </w:r>
                </w:p>
              </w:tc>
              <w:tc>
                <w:tcPr>
                  <w:tcW w:w="2284" w:type="dxa"/>
                  <w:vAlign w:val="center"/>
                </w:tcPr>
                <w:p>
                  <w:pPr>
                    <w:pStyle w:val="105"/>
                    <w:spacing w:line="240" w:lineRule="exact"/>
                    <w:jc w:val="center"/>
                    <w:rPr>
                      <w:rFonts w:ascii="Times New Roman"/>
                      <w:color w:val="auto"/>
                      <w:sz w:val="21"/>
                      <w:szCs w:val="21"/>
                    </w:rPr>
                  </w:pPr>
                  <w:r>
                    <w:rPr>
                      <w:rFonts w:hint="eastAsia" w:ascii="Times New Roman"/>
                      <w:color w:val="auto"/>
                      <w:sz w:val="21"/>
                      <w:szCs w:val="21"/>
                    </w:rPr>
                    <w:t>《大气污染物综合排放标准》（GB</w:t>
                  </w:r>
                  <w:r>
                    <w:rPr>
                      <w:rFonts w:ascii="Times New Roman"/>
                      <w:color w:val="auto"/>
                      <w:sz w:val="21"/>
                      <w:szCs w:val="21"/>
                    </w:rPr>
                    <w:t>16297-1996</w:t>
                  </w:r>
                  <w:r>
                    <w:rPr>
                      <w:rFonts w:hint="eastAsia" w:ascii="Times New Roman"/>
                      <w:color w:val="auto"/>
                      <w:sz w:val="21"/>
                      <w:szCs w:val="21"/>
                    </w:rPr>
                    <w:t>）二级标准</w:t>
                  </w:r>
                </w:p>
              </w:tc>
              <w:tc>
                <w:tcPr>
                  <w:tcW w:w="983" w:type="dxa"/>
                  <w:vAlign w:val="center"/>
                </w:tcPr>
                <w:p>
                  <w:pPr>
                    <w:pStyle w:val="105"/>
                    <w:spacing w:line="240" w:lineRule="exact"/>
                    <w:jc w:val="center"/>
                    <w:rPr>
                      <w:rFonts w:ascii="Times New Roman" w:cs="Times New Roman"/>
                      <w:bCs/>
                      <w:color w:val="auto"/>
                      <w:sz w:val="21"/>
                      <w:szCs w:val="21"/>
                    </w:rPr>
                  </w:pPr>
                  <w:r>
                    <w:rPr>
                      <w:rFonts w:ascii="Times New Roman" w:cs="Times New Roman"/>
                      <w:bCs/>
                      <w:color w:val="auto"/>
                      <w:sz w:val="21"/>
                      <w:szCs w:val="21"/>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9" w:hRule="atLeast"/>
              </w:trPr>
              <w:tc>
                <w:tcPr>
                  <w:tcW w:w="0" w:type="auto"/>
                  <w:vAlign w:val="center"/>
                </w:tcPr>
                <w:p>
                  <w:pPr>
                    <w:spacing w:line="240" w:lineRule="exact"/>
                    <w:jc w:val="center"/>
                    <w:rPr>
                      <w:b/>
                      <w:bCs/>
                      <w:spacing w:val="-10"/>
                      <w:szCs w:val="21"/>
                    </w:rPr>
                  </w:pPr>
                  <w:r>
                    <w:rPr>
                      <w:b/>
                      <w:bCs/>
                      <w:spacing w:val="-10"/>
                      <w:szCs w:val="21"/>
                    </w:rPr>
                    <w:t>废水</w:t>
                  </w:r>
                </w:p>
              </w:tc>
              <w:tc>
                <w:tcPr>
                  <w:tcW w:w="1332" w:type="dxa"/>
                  <w:vAlign w:val="center"/>
                </w:tcPr>
                <w:p>
                  <w:pPr>
                    <w:spacing w:line="240" w:lineRule="exact"/>
                    <w:jc w:val="center"/>
                    <w:rPr>
                      <w:bCs/>
                      <w:szCs w:val="21"/>
                    </w:rPr>
                  </w:pPr>
                  <w:r>
                    <w:rPr>
                      <w:rFonts w:hint="eastAsia"/>
                      <w:bCs/>
                      <w:szCs w:val="21"/>
                    </w:rPr>
                    <w:t>垃圾渗滤液</w:t>
                  </w:r>
                </w:p>
                <w:p>
                  <w:pPr>
                    <w:spacing w:line="240" w:lineRule="exact"/>
                    <w:jc w:val="center"/>
                    <w:rPr>
                      <w:bCs/>
                      <w:szCs w:val="21"/>
                    </w:rPr>
                  </w:pPr>
                  <w:r>
                    <w:rPr>
                      <w:rFonts w:hint="eastAsia"/>
                      <w:bCs/>
                      <w:szCs w:val="21"/>
                    </w:rPr>
                    <w:t>冲洗废水</w:t>
                  </w:r>
                </w:p>
                <w:p>
                  <w:pPr>
                    <w:spacing w:line="240" w:lineRule="exact"/>
                    <w:jc w:val="center"/>
                    <w:rPr>
                      <w:szCs w:val="21"/>
                      <w:highlight w:val="green"/>
                    </w:rPr>
                  </w:pPr>
                  <w:r>
                    <w:rPr>
                      <w:rFonts w:hint="eastAsia"/>
                      <w:bCs/>
                      <w:szCs w:val="21"/>
                    </w:rPr>
                    <w:t>生活污水</w:t>
                  </w:r>
                </w:p>
              </w:tc>
              <w:tc>
                <w:tcPr>
                  <w:tcW w:w="2288" w:type="dxa"/>
                  <w:vAlign w:val="center"/>
                </w:tcPr>
                <w:p>
                  <w:pPr>
                    <w:spacing w:line="240" w:lineRule="exact"/>
                    <w:jc w:val="center"/>
                    <w:rPr>
                      <w:szCs w:val="21"/>
                    </w:rPr>
                  </w:pPr>
                  <w:r>
                    <w:rPr>
                      <w:rFonts w:hint="eastAsia"/>
                      <w:szCs w:val="21"/>
                    </w:rPr>
                    <w:t>设置污水收集池，用转运运输车运至</w:t>
                  </w:r>
                  <w:r>
                    <w:rPr>
                      <w:rFonts w:hint="eastAsia" w:cs="宋体"/>
                      <w:szCs w:val="21"/>
                    </w:rPr>
                    <w:t>鹰手营子矿区</w:t>
                  </w:r>
                  <w:r>
                    <w:rPr>
                      <w:rFonts w:hint="eastAsia"/>
                      <w:szCs w:val="21"/>
                    </w:rPr>
                    <w:t>垃圾填埋场渗滤液处理站统一处理</w:t>
                  </w:r>
                </w:p>
              </w:tc>
              <w:tc>
                <w:tcPr>
                  <w:tcW w:w="524" w:type="dxa"/>
                  <w:vAlign w:val="center"/>
                </w:tcPr>
                <w:p>
                  <w:pPr>
                    <w:spacing w:line="240" w:lineRule="exact"/>
                    <w:jc w:val="center"/>
                    <w:rPr>
                      <w:spacing w:val="-10"/>
                      <w:szCs w:val="21"/>
                    </w:rPr>
                  </w:pPr>
                  <w:r>
                    <w:rPr>
                      <w:spacing w:val="-10"/>
                      <w:szCs w:val="21"/>
                    </w:rPr>
                    <w:t>1</w:t>
                  </w:r>
                  <w:r>
                    <w:rPr>
                      <w:rFonts w:hint="eastAsia"/>
                      <w:spacing w:val="-10"/>
                      <w:szCs w:val="21"/>
                    </w:rPr>
                    <w:t>座</w:t>
                  </w:r>
                </w:p>
              </w:tc>
              <w:tc>
                <w:tcPr>
                  <w:tcW w:w="0" w:type="auto"/>
                  <w:vAlign w:val="center"/>
                </w:tcPr>
                <w:p>
                  <w:pPr>
                    <w:spacing w:line="240" w:lineRule="exact"/>
                    <w:jc w:val="center"/>
                    <w:rPr>
                      <w:spacing w:val="-10"/>
                      <w:szCs w:val="21"/>
                    </w:rPr>
                  </w:pPr>
                  <w:r>
                    <w:rPr>
                      <w:rFonts w:hint="eastAsia"/>
                      <w:spacing w:val="-10"/>
                      <w:szCs w:val="21"/>
                    </w:rPr>
                    <w:t>达标</w:t>
                  </w:r>
                </w:p>
              </w:tc>
              <w:tc>
                <w:tcPr>
                  <w:tcW w:w="2284" w:type="dxa"/>
                  <w:vAlign w:val="center"/>
                </w:tcPr>
                <w:p>
                  <w:pPr>
                    <w:spacing w:line="240" w:lineRule="exact"/>
                    <w:jc w:val="center"/>
                    <w:rPr>
                      <w:szCs w:val="21"/>
                      <w:highlight w:val="green"/>
                    </w:rPr>
                  </w:pPr>
                  <w:r>
                    <w:rPr>
                      <w:rFonts w:hint="eastAsia"/>
                      <w:szCs w:val="21"/>
                    </w:rPr>
                    <w:t>满足</w:t>
                  </w:r>
                  <w:r>
                    <w:rPr>
                      <w:rFonts w:hint="eastAsia" w:cs="宋体"/>
                      <w:szCs w:val="21"/>
                    </w:rPr>
                    <w:t>污水处理厂</w:t>
                  </w:r>
                  <w:r>
                    <w:rPr>
                      <w:rFonts w:hint="eastAsia"/>
                      <w:szCs w:val="21"/>
                    </w:rPr>
                    <w:t>进水</w:t>
                  </w:r>
                  <w:r>
                    <w:rPr>
                      <w:spacing w:val="-10"/>
                      <w:szCs w:val="21"/>
                    </w:rPr>
                    <w:t>标准</w:t>
                  </w:r>
                  <w:r>
                    <w:rPr>
                      <w:rFonts w:hint="eastAsia"/>
                      <w:spacing w:val="-10"/>
                      <w:szCs w:val="21"/>
                    </w:rPr>
                    <w:t>，同时满足</w:t>
                  </w:r>
                  <w:r>
                    <w:rPr>
                      <w:rFonts w:hint="eastAsia"/>
                      <w:szCs w:val="21"/>
                    </w:rPr>
                    <w:t>《生活垃圾填埋场污染控制标准》（</w:t>
                  </w:r>
                  <w:r>
                    <w:rPr>
                      <w:szCs w:val="21"/>
                    </w:rPr>
                    <w:t>GB16889-2008</w:t>
                  </w:r>
                  <w:r>
                    <w:rPr>
                      <w:rFonts w:hint="eastAsia"/>
                      <w:szCs w:val="21"/>
                    </w:rPr>
                    <w:t>）标准</w:t>
                  </w:r>
                </w:p>
              </w:tc>
              <w:tc>
                <w:tcPr>
                  <w:tcW w:w="983" w:type="dxa"/>
                  <w:vAlign w:val="center"/>
                </w:tcPr>
                <w:p>
                  <w:pPr>
                    <w:spacing w:line="240" w:lineRule="exact"/>
                    <w:jc w:val="center"/>
                    <w:rPr>
                      <w:szCs w:val="21"/>
                    </w:rPr>
                  </w:pPr>
                  <w:r>
                    <w:rPr>
                      <w:szCs w:val="21"/>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0" w:hRule="atLeast"/>
              </w:trPr>
              <w:tc>
                <w:tcPr>
                  <w:tcW w:w="0" w:type="auto"/>
                  <w:vAlign w:val="center"/>
                </w:tcPr>
                <w:p>
                  <w:pPr>
                    <w:spacing w:line="240" w:lineRule="exact"/>
                    <w:jc w:val="center"/>
                    <w:rPr>
                      <w:b/>
                      <w:bCs/>
                      <w:spacing w:val="-10"/>
                      <w:szCs w:val="21"/>
                    </w:rPr>
                  </w:pPr>
                  <w:r>
                    <w:rPr>
                      <w:b/>
                      <w:bCs/>
                      <w:spacing w:val="-10"/>
                      <w:szCs w:val="21"/>
                    </w:rPr>
                    <w:t>噪声</w:t>
                  </w:r>
                </w:p>
              </w:tc>
              <w:tc>
                <w:tcPr>
                  <w:tcW w:w="1332" w:type="dxa"/>
                  <w:vAlign w:val="center"/>
                </w:tcPr>
                <w:p>
                  <w:pPr>
                    <w:spacing w:line="240" w:lineRule="exact"/>
                    <w:jc w:val="center"/>
                    <w:rPr>
                      <w:bCs/>
                      <w:spacing w:val="-10"/>
                      <w:szCs w:val="21"/>
                    </w:rPr>
                  </w:pPr>
                  <w:r>
                    <w:rPr>
                      <w:bCs/>
                      <w:spacing w:val="-10"/>
                      <w:szCs w:val="21"/>
                    </w:rPr>
                    <w:t>机械噪声</w:t>
                  </w:r>
                </w:p>
              </w:tc>
              <w:tc>
                <w:tcPr>
                  <w:tcW w:w="2288" w:type="dxa"/>
                  <w:vAlign w:val="center"/>
                </w:tcPr>
                <w:p>
                  <w:pPr>
                    <w:spacing w:line="240" w:lineRule="exact"/>
                    <w:jc w:val="center"/>
                    <w:rPr>
                      <w:bCs/>
                      <w:spacing w:val="-10"/>
                      <w:szCs w:val="21"/>
                    </w:rPr>
                  </w:pPr>
                  <w:r>
                    <w:rPr>
                      <w:rFonts w:hint="eastAsia"/>
                      <w:szCs w:val="21"/>
                    </w:rPr>
                    <w:t>合理安排工作时间、加强管理，减少员工作业、搬运过程中产生的噪声等</w:t>
                  </w:r>
                </w:p>
              </w:tc>
              <w:tc>
                <w:tcPr>
                  <w:tcW w:w="524" w:type="dxa"/>
                  <w:vAlign w:val="center"/>
                </w:tcPr>
                <w:p>
                  <w:pPr>
                    <w:spacing w:line="240" w:lineRule="exact"/>
                    <w:jc w:val="center"/>
                    <w:rPr>
                      <w:bCs/>
                      <w:spacing w:val="-10"/>
                      <w:szCs w:val="21"/>
                    </w:rPr>
                  </w:pPr>
                  <w:r>
                    <w:rPr>
                      <w:rFonts w:hint="eastAsia"/>
                      <w:bCs/>
                      <w:spacing w:val="-10"/>
                      <w:szCs w:val="21"/>
                    </w:rPr>
                    <w:t>-</w:t>
                  </w:r>
                </w:p>
              </w:tc>
              <w:tc>
                <w:tcPr>
                  <w:tcW w:w="0" w:type="auto"/>
                  <w:vAlign w:val="center"/>
                </w:tcPr>
                <w:p>
                  <w:pPr>
                    <w:spacing w:line="240" w:lineRule="exact"/>
                    <w:jc w:val="center"/>
                    <w:rPr>
                      <w:bCs/>
                      <w:spacing w:val="-10"/>
                      <w:szCs w:val="21"/>
                    </w:rPr>
                  </w:pPr>
                  <w:r>
                    <w:rPr>
                      <w:rFonts w:hint="eastAsia"/>
                      <w:bCs/>
                      <w:spacing w:val="-10"/>
                      <w:szCs w:val="21"/>
                    </w:rPr>
                    <w:t>达标</w:t>
                  </w:r>
                </w:p>
              </w:tc>
              <w:tc>
                <w:tcPr>
                  <w:tcW w:w="2284" w:type="dxa"/>
                  <w:vAlign w:val="center"/>
                </w:tcPr>
                <w:p>
                  <w:pPr>
                    <w:spacing w:line="240" w:lineRule="exact"/>
                    <w:jc w:val="center"/>
                    <w:rPr>
                      <w:bCs/>
                      <w:spacing w:val="-10"/>
                      <w:szCs w:val="21"/>
                    </w:rPr>
                  </w:pPr>
                  <w:r>
                    <w:rPr>
                      <w:bCs/>
                      <w:spacing w:val="-10"/>
                      <w:szCs w:val="21"/>
                    </w:rPr>
                    <w:t>《工业企业厂界环境噪声排放标准》(GB12348-2008)2类</w:t>
                  </w:r>
                  <w:r>
                    <w:rPr>
                      <w:rFonts w:hint="eastAsia"/>
                      <w:bCs/>
                      <w:spacing w:val="-10"/>
                      <w:szCs w:val="21"/>
                    </w:rPr>
                    <w:t>区</w:t>
                  </w:r>
                  <w:r>
                    <w:rPr>
                      <w:bCs/>
                      <w:spacing w:val="-10"/>
                      <w:szCs w:val="21"/>
                    </w:rPr>
                    <w:t>标准</w:t>
                  </w:r>
                </w:p>
              </w:tc>
              <w:tc>
                <w:tcPr>
                  <w:tcW w:w="983" w:type="dxa"/>
                  <w:vAlign w:val="center"/>
                </w:tcPr>
                <w:p>
                  <w:pPr>
                    <w:spacing w:line="240" w:lineRule="exact"/>
                    <w:jc w:val="center"/>
                    <w:rPr>
                      <w:bCs/>
                      <w:spacing w:val="-10"/>
                      <w:szCs w:val="21"/>
                    </w:rPr>
                  </w:pPr>
                  <w:r>
                    <w:rPr>
                      <w:bCs/>
                      <w:spacing w:val="-10"/>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7" w:hRule="atLeast"/>
              </w:trPr>
              <w:tc>
                <w:tcPr>
                  <w:tcW w:w="0" w:type="auto"/>
                  <w:vMerge w:val="restart"/>
                  <w:vAlign w:val="center"/>
                </w:tcPr>
                <w:p>
                  <w:pPr>
                    <w:spacing w:line="240" w:lineRule="exact"/>
                    <w:jc w:val="center"/>
                    <w:rPr>
                      <w:b/>
                      <w:bCs/>
                      <w:spacing w:val="-10"/>
                      <w:szCs w:val="21"/>
                    </w:rPr>
                  </w:pPr>
                  <w:r>
                    <w:rPr>
                      <w:b/>
                      <w:bCs/>
                      <w:spacing w:val="-10"/>
                      <w:szCs w:val="21"/>
                    </w:rPr>
                    <w:t>固废</w:t>
                  </w:r>
                </w:p>
              </w:tc>
              <w:tc>
                <w:tcPr>
                  <w:tcW w:w="1332" w:type="dxa"/>
                  <w:vAlign w:val="center"/>
                </w:tcPr>
                <w:p>
                  <w:pPr>
                    <w:spacing w:line="240" w:lineRule="exact"/>
                    <w:jc w:val="center"/>
                    <w:rPr>
                      <w:szCs w:val="21"/>
                    </w:rPr>
                  </w:pPr>
                  <w:r>
                    <w:rPr>
                      <w:rFonts w:hint="eastAsia"/>
                      <w:szCs w:val="21"/>
                    </w:rPr>
                    <w:t>生活垃圾</w:t>
                  </w:r>
                </w:p>
              </w:tc>
              <w:tc>
                <w:tcPr>
                  <w:tcW w:w="2288" w:type="dxa"/>
                  <w:vAlign w:val="center"/>
                </w:tcPr>
                <w:p>
                  <w:pPr>
                    <w:spacing w:line="240" w:lineRule="exact"/>
                    <w:jc w:val="center"/>
                    <w:rPr>
                      <w:spacing w:val="-10"/>
                      <w:szCs w:val="21"/>
                    </w:rPr>
                  </w:pPr>
                  <w:r>
                    <w:rPr>
                      <w:rFonts w:hint="eastAsia"/>
                      <w:szCs w:val="21"/>
                    </w:rPr>
                    <w:t>全部集中收集至垃圾转运站中集中处理</w:t>
                  </w:r>
                </w:p>
              </w:tc>
              <w:tc>
                <w:tcPr>
                  <w:tcW w:w="524" w:type="dxa"/>
                  <w:vAlign w:val="center"/>
                </w:tcPr>
                <w:p>
                  <w:pPr>
                    <w:spacing w:line="240" w:lineRule="exact"/>
                    <w:jc w:val="center"/>
                    <w:rPr>
                      <w:bCs/>
                      <w:spacing w:val="-10"/>
                      <w:szCs w:val="21"/>
                    </w:rPr>
                  </w:pPr>
                  <w:r>
                    <w:rPr>
                      <w:rFonts w:hint="eastAsia"/>
                      <w:bCs/>
                      <w:spacing w:val="-10"/>
                      <w:szCs w:val="21"/>
                    </w:rPr>
                    <w:t>垃圾桶若干</w:t>
                  </w:r>
                </w:p>
              </w:tc>
              <w:tc>
                <w:tcPr>
                  <w:tcW w:w="0" w:type="auto"/>
                  <w:vAlign w:val="center"/>
                </w:tcPr>
                <w:p>
                  <w:pPr>
                    <w:spacing w:line="240" w:lineRule="exact"/>
                    <w:jc w:val="center"/>
                    <w:rPr>
                      <w:bCs/>
                      <w:spacing w:val="-10"/>
                      <w:szCs w:val="21"/>
                    </w:rPr>
                  </w:pPr>
                  <w:r>
                    <w:rPr>
                      <w:rFonts w:hint="eastAsia"/>
                      <w:bCs/>
                      <w:spacing w:val="-10"/>
                      <w:szCs w:val="21"/>
                    </w:rPr>
                    <w:t>转运站内处理</w:t>
                  </w:r>
                </w:p>
              </w:tc>
              <w:tc>
                <w:tcPr>
                  <w:tcW w:w="2284" w:type="dxa"/>
                  <w:vAlign w:val="center"/>
                </w:tcPr>
                <w:p>
                  <w:pPr>
                    <w:spacing w:line="240" w:lineRule="exact"/>
                    <w:jc w:val="center"/>
                    <w:rPr>
                      <w:bCs/>
                      <w:spacing w:val="-10"/>
                      <w:szCs w:val="21"/>
                    </w:rPr>
                  </w:pPr>
                  <w:r>
                    <w:rPr>
                      <w:rFonts w:hint="eastAsia"/>
                      <w:bCs/>
                      <w:spacing w:val="-10"/>
                      <w:szCs w:val="21"/>
                    </w:rPr>
                    <w:t>按规定及时、有效处理，不对周围环境产生影响</w:t>
                  </w:r>
                </w:p>
              </w:tc>
              <w:tc>
                <w:tcPr>
                  <w:tcW w:w="983" w:type="dxa"/>
                  <w:vAlign w:val="center"/>
                </w:tcPr>
                <w:p>
                  <w:pPr>
                    <w:spacing w:line="240" w:lineRule="exact"/>
                    <w:jc w:val="center"/>
                    <w:rPr>
                      <w:bCs/>
                      <w:spacing w:val="-10"/>
                      <w:szCs w:val="21"/>
                    </w:rPr>
                  </w:pPr>
                  <w:r>
                    <w:rPr>
                      <w:bCs/>
                      <w:spacing w:val="-1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6" w:hRule="atLeast"/>
              </w:trPr>
              <w:tc>
                <w:tcPr>
                  <w:tcW w:w="0" w:type="auto"/>
                  <w:vMerge w:val="continue"/>
                  <w:vAlign w:val="center"/>
                </w:tcPr>
                <w:p>
                  <w:pPr>
                    <w:spacing w:line="240" w:lineRule="exact"/>
                    <w:jc w:val="center"/>
                    <w:rPr>
                      <w:b/>
                      <w:bCs/>
                      <w:spacing w:val="-10"/>
                      <w:szCs w:val="21"/>
                    </w:rPr>
                  </w:pPr>
                </w:p>
              </w:tc>
              <w:tc>
                <w:tcPr>
                  <w:tcW w:w="1332" w:type="dxa"/>
                  <w:vAlign w:val="center"/>
                </w:tcPr>
                <w:p>
                  <w:pPr>
                    <w:spacing w:line="240" w:lineRule="exact"/>
                    <w:jc w:val="center"/>
                    <w:rPr>
                      <w:szCs w:val="21"/>
                    </w:rPr>
                  </w:pPr>
                  <w:r>
                    <w:rPr>
                      <w:rFonts w:hint="eastAsia"/>
                      <w:szCs w:val="21"/>
                    </w:rPr>
                    <w:t>污水收集池污泥</w:t>
                  </w:r>
                </w:p>
              </w:tc>
              <w:tc>
                <w:tcPr>
                  <w:tcW w:w="2288" w:type="dxa"/>
                  <w:vAlign w:val="center"/>
                </w:tcPr>
                <w:p>
                  <w:pPr>
                    <w:spacing w:line="240" w:lineRule="exact"/>
                    <w:jc w:val="center"/>
                    <w:rPr>
                      <w:spacing w:val="-10"/>
                      <w:szCs w:val="21"/>
                    </w:rPr>
                  </w:pPr>
                  <w:r>
                    <w:rPr>
                      <w:rFonts w:hint="eastAsia"/>
                      <w:szCs w:val="21"/>
                    </w:rPr>
                    <w:t>委托专业公司清掏拉运处理</w:t>
                  </w:r>
                </w:p>
              </w:tc>
              <w:tc>
                <w:tcPr>
                  <w:tcW w:w="524" w:type="dxa"/>
                  <w:vAlign w:val="center"/>
                </w:tcPr>
                <w:p>
                  <w:pPr>
                    <w:spacing w:line="240" w:lineRule="exact"/>
                    <w:jc w:val="center"/>
                    <w:rPr>
                      <w:bCs/>
                      <w:spacing w:val="-10"/>
                      <w:szCs w:val="21"/>
                    </w:rPr>
                  </w:pPr>
                </w:p>
              </w:tc>
              <w:tc>
                <w:tcPr>
                  <w:tcW w:w="0" w:type="auto"/>
                  <w:vAlign w:val="center"/>
                </w:tcPr>
                <w:p>
                  <w:pPr>
                    <w:spacing w:line="240" w:lineRule="exact"/>
                    <w:jc w:val="center"/>
                    <w:rPr>
                      <w:bCs/>
                      <w:spacing w:val="-10"/>
                      <w:szCs w:val="21"/>
                    </w:rPr>
                  </w:pPr>
                  <w:r>
                    <w:rPr>
                      <w:rFonts w:hint="eastAsia"/>
                      <w:bCs/>
                      <w:spacing w:val="-10"/>
                      <w:szCs w:val="21"/>
                    </w:rPr>
                    <w:t>达标</w:t>
                  </w:r>
                </w:p>
              </w:tc>
              <w:tc>
                <w:tcPr>
                  <w:tcW w:w="2284" w:type="dxa"/>
                  <w:vAlign w:val="center"/>
                </w:tcPr>
                <w:p>
                  <w:pPr>
                    <w:spacing w:line="240" w:lineRule="exact"/>
                    <w:jc w:val="center"/>
                    <w:rPr>
                      <w:bCs/>
                      <w:spacing w:val="-10"/>
                      <w:szCs w:val="21"/>
                    </w:rPr>
                  </w:pPr>
                  <w:r>
                    <w:rPr>
                      <w:rFonts w:hint="eastAsia"/>
                      <w:bCs/>
                      <w:spacing w:val="-10"/>
                      <w:szCs w:val="21"/>
                    </w:rPr>
                    <w:t>建议每半年或一年清掏一次</w:t>
                  </w:r>
                </w:p>
              </w:tc>
              <w:tc>
                <w:tcPr>
                  <w:tcW w:w="983" w:type="dxa"/>
                  <w:vAlign w:val="center"/>
                </w:tcPr>
                <w:p>
                  <w:pPr>
                    <w:spacing w:line="240" w:lineRule="exact"/>
                    <w:jc w:val="center"/>
                    <w:rPr>
                      <w:bCs/>
                      <w:spacing w:val="-10"/>
                      <w:szCs w:val="21"/>
                    </w:rPr>
                  </w:pPr>
                  <w:r>
                    <w:rPr>
                      <w:bCs/>
                      <w:spacing w:val="-1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6" w:hRule="atLeast"/>
              </w:trPr>
              <w:tc>
                <w:tcPr>
                  <w:tcW w:w="7662" w:type="dxa"/>
                  <w:gridSpan w:val="6"/>
                  <w:vAlign w:val="center"/>
                </w:tcPr>
                <w:p>
                  <w:pPr>
                    <w:spacing w:line="240" w:lineRule="exact"/>
                    <w:jc w:val="center"/>
                    <w:rPr>
                      <w:bCs/>
                      <w:spacing w:val="-10"/>
                      <w:szCs w:val="21"/>
                    </w:rPr>
                  </w:pPr>
                  <w:r>
                    <w:rPr>
                      <w:rFonts w:hint="eastAsia"/>
                      <w:b/>
                      <w:bCs/>
                      <w:spacing w:val="-10"/>
                      <w:szCs w:val="21"/>
                    </w:rPr>
                    <w:t>合计</w:t>
                  </w:r>
                </w:p>
              </w:tc>
              <w:tc>
                <w:tcPr>
                  <w:tcW w:w="983" w:type="dxa"/>
                  <w:vAlign w:val="center"/>
                </w:tcPr>
                <w:p>
                  <w:pPr>
                    <w:spacing w:line="240" w:lineRule="exact"/>
                    <w:jc w:val="center"/>
                    <w:rPr>
                      <w:b/>
                      <w:bCs/>
                      <w:spacing w:val="-10"/>
                      <w:szCs w:val="21"/>
                    </w:rPr>
                  </w:pPr>
                  <w:r>
                    <w:rPr>
                      <w:b/>
                      <w:bCs/>
                      <w:spacing w:val="-10"/>
                      <w:szCs w:val="21"/>
                    </w:rPr>
                    <w:t>108</w:t>
                  </w:r>
                </w:p>
              </w:tc>
            </w:tr>
          </w:tbl>
          <w:p>
            <w:pPr>
              <w:spacing w:line="360" w:lineRule="auto"/>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4" w:hRule="atLeast"/>
          <w:jc w:val="center"/>
        </w:trPr>
        <w:tc>
          <w:tcPr>
            <w:tcW w:w="9129" w:type="dxa"/>
            <w:tcBorders>
              <w:top w:val="single" w:color="auto" w:sz="4" w:space="0"/>
              <w:bottom w:val="single" w:color="auto" w:sz="4" w:space="0"/>
            </w:tcBorders>
          </w:tcPr>
          <w:p>
            <w:pPr>
              <w:spacing w:line="360" w:lineRule="auto"/>
              <w:jc w:val="left"/>
              <w:rPr>
                <w:b/>
                <w:bCs/>
                <w:sz w:val="24"/>
                <w:szCs w:val="24"/>
              </w:rPr>
            </w:pPr>
            <w:r>
              <w:rPr>
                <w:b/>
                <w:bCs/>
                <w:sz w:val="24"/>
                <w:szCs w:val="24"/>
              </w:rPr>
              <w:t>预审意见：</w:t>
            </w:r>
          </w:p>
          <w:p>
            <w:pPr>
              <w:spacing w:line="360" w:lineRule="auto"/>
              <w:jc w:val="left"/>
              <w:rPr>
                <w:bCs/>
                <w:sz w:val="24"/>
                <w:szCs w:val="24"/>
              </w:rPr>
            </w:pPr>
          </w:p>
          <w:p>
            <w:pPr>
              <w:spacing w:line="360" w:lineRule="auto"/>
              <w:jc w:val="left"/>
              <w:rPr>
                <w:bCs/>
                <w:sz w:val="24"/>
                <w:szCs w:val="24"/>
              </w:rPr>
            </w:pPr>
          </w:p>
          <w:p>
            <w:pPr>
              <w:spacing w:line="360" w:lineRule="auto"/>
              <w:jc w:val="left"/>
              <w:rPr>
                <w:bCs/>
                <w:sz w:val="24"/>
                <w:szCs w:val="24"/>
              </w:rPr>
            </w:pPr>
          </w:p>
          <w:p>
            <w:pPr>
              <w:spacing w:line="360" w:lineRule="auto"/>
              <w:jc w:val="left"/>
              <w:rPr>
                <w:bCs/>
                <w:sz w:val="24"/>
                <w:szCs w:val="24"/>
              </w:rPr>
            </w:pPr>
          </w:p>
          <w:p>
            <w:pPr>
              <w:spacing w:line="360" w:lineRule="auto"/>
              <w:jc w:val="left"/>
              <w:rPr>
                <w:bCs/>
                <w:sz w:val="24"/>
                <w:szCs w:val="24"/>
              </w:rPr>
            </w:pPr>
          </w:p>
          <w:p>
            <w:pPr>
              <w:spacing w:line="360" w:lineRule="auto"/>
              <w:jc w:val="left"/>
              <w:rPr>
                <w:bCs/>
                <w:sz w:val="24"/>
                <w:szCs w:val="24"/>
              </w:rPr>
            </w:pPr>
          </w:p>
          <w:p>
            <w:pPr>
              <w:spacing w:line="360" w:lineRule="auto"/>
              <w:jc w:val="left"/>
              <w:rPr>
                <w:bCs/>
                <w:sz w:val="24"/>
                <w:szCs w:val="24"/>
              </w:rPr>
            </w:pPr>
          </w:p>
          <w:p>
            <w:pPr>
              <w:spacing w:line="360" w:lineRule="auto"/>
              <w:jc w:val="left"/>
              <w:rPr>
                <w:bCs/>
                <w:sz w:val="24"/>
                <w:szCs w:val="24"/>
              </w:rPr>
            </w:pPr>
          </w:p>
          <w:p>
            <w:pPr>
              <w:spacing w:line="360" w:lineRule="auto"/>
              <w:jc w:val="left"/>
              <w:rPr>
                <w:bCs/>
                <w:sz w:val="24"/>
                <w:szCs w:val="24"/>
              </w:rPr>
            </w:pPr>
          </w:p>
          <w:p>
            <w:pPr>
              <w:spacing w:line="360" w:lineRule="auto"/>
              <w:jc w:val="left"/>
              <w:rPr>
                <w:bCs/>
                <w:sz w:val="24"/>
                <w:szCs w:val="24"/>
              </w:rPr>
            </w:pPr>
          </w:p>
          <w:p>
            <w:pPr>
              <w:spacing w:line="360" w:lineRule="auto"/>
              <w:jc w:val="left"/>
              <w:rPr>
                <w:b/>
                <w:bCs/>
                <w:sz w:val="24"/>
                <w:szCs w:val="24"/>
              </w:rPr>
            </w:pPr>
          </w:p>
          <w:p>
            <w:pPr>
              <w:spacing w:line="360" w:lineRule="auto"/>
              <w:ind w:firstLine="1687" w:firstLineChars="700"/>
              <w:jc w:val="left"/>
              <w:rPr>
                <w:b/>
                <w:bCs/>
                <w:sz w:val="24"/>
                <w:szCs w:val="24"/>
              </w:rPr>
            </w:pPr>
            <w:r>
              <w:rPr>
                <w:b/>
                <w:bCs/>
                <w:sz w:val="24"/>
                <w:szCs w:val="24"/>
              </w:rPr>
              <w:t>　　公章</w:t>
            </w:r>
          </w:p>
          <w:p>
            <w:pPr>
              <w:spacing w:line="360" w:lineRule="auto"/>
              <w:jc w:val="left"/>
              <w:rPr>
                <w:bCs/>
                <w:sz w:val="24"/>
                <w:szCs w:val="24"/>
              </w:rPr>
            </w:pPr>
            <w:r>
              <w:rPr>
                <w:b/>
                <w:bCs/>
                <w:sz w:val="24"/>
                <w:szCs w:val="24"/>
              </w:rPr>
              <w:t>经办人：</w:t>
            </w:r>
            <w:r>
              <w:rPr>
                <w:rFonts w:hint="eastAsia"/>
                <w:b/>
                <w:bCs/>
                <w:sz w:val="24"/>
                <w:szCs w:val="24"/>
              </w:rPr>
              <w:t xml:space="preserve">    </w:t>
            </w:r>
            <w:r>
              <w:rPr>
                <w:b/>
                <w:bCs/>
                <w:sz w:val="24"/>
                <w:szCs w:val="24"/>
              </w:rPr>
              <w:t>年</w:t>
            </w:r>
            <w:r>
              <w:rPr>
                <w:rFonts w:hint="eastAsia"/>
                <w:b/>
                <w:bCs/>
                <w:sz w:val="24"/>
                <w:szCs w:val="24"/>
              </w:rPr>
              <w:t xml:space="preserve">   </w:t>
            </w:r>
            <w:r>
              <w:rPr>
                <w:b/>
                <w:bCs/>
                <w:sz w:val="24"/>
                <w:szCs w:val="24"/>
              </w:rPr>
              <w:t>月</w:t>
            </w:r>
            <w:r>
              <w:rPr>
                <w:rFonts w:hint="eastAsia"/>
                <w:b/>
                <w:bCs/>
                <w:sz w:val="24"/>
                <w:szCs w:val="24"/>
              </w:rPr>
              <w:t xml:space="preserve">   </w:t>
            </w:r>
            <w:r>
              <w:rPr>
                <w:b/>
                <w:bCs/>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5" w:hRule="atLeast"/>
          <w:jc w:val="center"/>
        </w:trPr>
        <w:tc>
          <w:tcPr>
            <w:tcW w:w="9129" w:type="dxa"/>
            <w:tcBorders>
              <w:top w:val="single" w:color="auto" w:sz="4" w:space="0"/>
              <w:bottom w:val="single" w:color="auto" w:sz="4" w:space="0"/>
            </w:tcBorders>
          </w:tcPr>
          <w:p>
            <w:pPr>
              <w:spacing w:line="360" w:lineRule="auto"/>
              <w:jc w:val="left"/>
              <w:rPr>
                <w:b/>
                <w:bCs/>
                <w:sz w:val="24"/>
                <w:szCs w:val="24"/>
              </w:rPr>
            </w:pPr>
            <w:r>
              <w:rPr>
                <w:b/>
                <w:bCs/>
                <w:sz w:val="24"/>
                <w:szCs w:val="24"/>
              </w:rPr>
              <w:t>下一级环境保护行政主管部门审查意见：</w:t>
            </w:r>
          </w:p>
          <w:p>
            <w:pPr>
              <w:spacing w:line="360" w:lineRule="auto"/>
              <w:jc w:val="left"/>
              <w:rPr>
                <w:bCs/>
                <w:sz w:val="24"/>
                <w:szCs w:val="24"/>
              </w:rPr>
            </w:pPr>
          </w:p>
          <w:p>
            <w:pPr>
              <w:spacing w:line="360" w:lineRule="auto"/>
              <w:ind w:firstLine="3120" w:firstLineChars="1300"/>
              <w:jc w:val="left"/>
              <w:rPr>
                <w:bCs/>
                <w:sz w:val="24"/>
                <w:szCs w:val="24"/>
              </w:rPr>
            </w:pPr>
          </w:p>
          <w:p>
            <w:pPr>
              <w:spacing w:line="360" w:lineRule="auto"/>
              <w:ind w:firstLine="3120" w:firstLineChars="1300"/>
              <w:jc w:val="left"/>
              <w:rPr>
                <w:bCs/>
                <w:sz w:val="24"/>
                <w:szCs w:val="24"/>
              </w:rPr>
            </w:pPr>
          </w:p>
          <w:p>
            <w:pPr>
              <w:spacing w:line="360" w:lineRule="auto"/>
              <w:ind w:firstLine="3120" w:firstLineChars="1300"/>
              <w:jc w:val="left"/>
              <w:rPr>
                <w:bCs/>
                <w:sz w:val="24"/>
                <w:szCs w:val="24"/>
              </w:rPr>
            </w:pPr>
          </w:p>
          <w:p>
            <w:pPr>
              <w:spacing w:line="360" w:lineRule="auto"/>
              <w:ind w:firstLine="3120" w:firstLineChars="1300"/>
              <w:jc w:val="left"/>
              <w:rPr>
                <w:bCs/>
                <w:sz w:val="24"/>
                <w:szCs w:val="24"/>
              </w:rPr>
            </w:pPr>
          </w:p>
          <w:p>
            <w:pPr>
              <w:spacing w:line="360" w:lineRule="auto"/>
              <w:ind w:firstLine="3120" w:firstLineChars="1300"/>
              <w:jc w:val="left"/>
              <w:rPr>
                <w:bCs/>
                <w:sz w:val="24"/>
                <w:szCs w:val="24"/>
              </w:rPr>
            </w:pPr>
          </w:p>
          <w:p>
            <w:pPr>
              <w:spacing w:line="360" w:lineRule="auto"/>
              <w:ind w:firstLine="3120" w:firstLineChars="1300"/>
              <w:jc w:val="left"/>
              <w:rPr>
                <w:bCs/>
                <w:sz w:val="24"/>
                <w:szCs w:val="24"/>
              </w:rPr>
            </w:pPr>
          </w:p>
          <w:p>
            <w:pPr>
              <w:spacing w:line="360" w:lineRule="auto"/>
              <w:ind w:firstLine="3132" w:firstLineChars="1300"/>
              <w:jc w:val="left"/>
              <w:rPr>
                <w:b/>
                <w:bCs/>
                <w:sz w:val="24"/>
                <w:szCs w:val="24"/>
              </w:rPr>
            </w:pPr>
          </w:p>
          <w:p>
            <w:pPr>
              <w:spacing w:line="360" w:lineRule="auto"/>
              <w:ind w:firstLine="5542" w:firstLineChars="2300"/>
              <w:jc w:val="left"/>
              <w:rPr>
                <w:b/>
                <w:bCs/>
                <w:sz w:val="24"/>
                <w:szCs w:val="24"/>
              </w:rPr>
            </w:pPr>
            <w:r>
              <w:rPr>
                <w:b/>
                <w:bCs/>
                <w:sz w:val="24"/>
                <w:szCs w:val="24"/>
              </w:rPr>
              <w:t>公章</w:t>
            </w:r>
          </w:p>
          <w:p>
            <w:pPr>
              <w:spacing w:line="360" w:lineRule="auto"/>
              <w:jc w:val="left"/>
              <w:rPr>
                <w:bCs/>
                <w:sz w:val="24"/>
                <w:szCs w:val="24"/>
              </w:rPr>
            </w:pPr>
            <w:r>
              <w:rPr>
                <w:b/>
                <w:bCs/>
                <w:sz w:val="24"/>
                <w:szCs w:val="24"/>
              </w:rPr>
              <w:t>经办人：</w:t>
            </w:r>
            <w:r>
              <w:rPr>
                <w:rFonts w:hint="eastAsia"/>
                <w:b/>
                <w:bCs/>
                <w:sz w:val="24"/>
                <w:szCs w:val="24"/>
              </w:rPr>
              <w:t xml:space="preserve">  </w:t>
            </w:r>
            <w:r>
              <w:rPr>
                <w:b/>
                <w:bCs/>
                <w:sz w:val="24"/>
                <w:szCs w:val="24"/>
              </w:rPr>
              <w:t xml:space="preserve"> </w:t>
            </w:r>
            <w:r>
              <w:rPr>
                <w:rFonts w:hint="eastAsia"/>
                <w:b/>
                <w:bCs/>
                <w:sz w:val="24"/>
                <w:szCs w:val="24"/>
              </w:rPr>
              <w:t xml:space="preserve"> </w:t>
            </w:r>
            <w:r>
              <w:rPr>
                <w:b/>
                <w:bCs/>
                <w:sz w:val="24"/>
                <w:szCs w:val="24"/>
              </w:rPr>
              <w:t>年</w:t>
            </w:r>
            <w:r>
              <w:rPr>
                <w:rFonts w:hint="eastAsia"/>
                <w:b/>
                <w:bCs/>
                <w:sz w:val="24"/>
                <w:szCs w:val="24"/>
              </w:rPr>
              <w:t xml:space="preserve">   </w:t>
            </w:r>
            <w:r>
              <w:rPr>
                <w:b/>
                <w:bCs/>
                <w:sz w:val="24"/>
                <w:szCs w:val="24"/>
              </w:rPr>
              <w:t>月</w:t>
            </w:r>
            <w:r>
              <w:rPr>
                <w:rFonts w:hint="eastAsia"/>
                <w:b/>
                <w:bCs/>
                <w:sz w:val="24"/>
                <w:szCs w:val="24"/>
              </w:rPr>
              <w:t xml:space="preserve">   </w:t>
            </w:r>
            <w:r>
              <w:rPr>
                <w:b/>
                <w:bCs/>
                <w:sz w:val="24"/>
                <w:szCs w:val="24"/>
              </w:rPr>
              <w:t>日</w:t>
            </w:r>
          </w:p>
        </w:tc>
      </w:tr>
    </w:tbl>
    <w:p>
      <w:r>
        <w:br w:type="page"/>
      </w:r>
    </w:p>
    <w:tbl>
      <w:tblPr>
        <w:tblStyle w:val="27"/>
        <w:tblW w:w="91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539" w:hRule="atLeast"/>
          <w:jc w:val="center"/>
        </w:trPr>
        <w:tc>
          <w:tcPr>
            <w:tcW w:w="9129" w:type="dxa"/>
          </w:tcPr>
          <w:p>
            <w:pPr>
              <w:spacing w:line="360" w:lineRule="auto"/>
              <w:rPr>
                <w:b/>
                <w:bCs/>
                <w:sz w:val="24"/>
                <w:szCs w:val="24"/>
              </w:rPr>
            </w:pPr>
            <w:r>
              <w:rPr>
                <w:b/>
                <w:bCs/>
                <w:sz w:val="24"/>
                <w:szCs w:val="24"/>
              </w:rPr>
              <w:t>审批意见:</w:t>
            </w:r>
          </w:p>
          <w:p>
            <w:pPr>
              <w:spacing w:line="360" w:lineRule="auto"/>
              <w:rPr>
                <w:sz w:val="24"/>
                <w:szCs w:val="24"/>
              </w:rPr>
            </w:pPr>
          </w:p>
          <w:p>
            <w:pPr>
              <w:spacing w:line="360" w:lineRule="auto"/>
              <w:rPr>
                <w:sz w:val="24"/>
                <w:szCs w:val="24"/>
              </w:rPr>
            </w:pPr>
          </w:p>
          <w:p>
            <w:pPr>
              <w:spacing w:line="360" w:lineRule="auto"/>
              <w:rPr>
                <w:sz w:val="24"/>
                <w:szCs w:val="24"/>
              </w:rPr>
            </w:pPr>
          </w:p>
          <w:p>
            <w:pPr>
              <w:tabs>
                <w:tab w:val="left" w:pos="600"/>
              </w:tabs>
              <w:spacing w:line="360" w:lineRule="auto"/>
              <w:rPr>
                <w:sz w:val="24"/>
                <w:szCs w:val="24"/>
              </w:rPr>
            </w:pPr>
          </w:p>
          <w:p>
            <w:pPr>
              <w:tabs>
                <w:tab w:val="left" w:pos="600"/>
              </w:tabs>
              <w:spacing w:line="360" w:lineRule="auto"/>
              <w:rPr>
                <w:sz w:val="24"/>
                <w:szCs w:val="24"/>
              </w:rPr>
            </w:pPr>
          </w:p>
          <w:p>
            <w:pPr>
              <w:tabs>
                <w:tab w:val="left" w:pos="600"/>
              </w:tabs>
              <w:spacing w:line="360" w:lineRule="auto"/>
              <w:rPr>
                <w:sz w:val="24"/>
                <w:szCs w:val="24"/>
              </w:rPr>
            </w:pPr>
          </w:p>
          <w:p>
            <w:pPr>
              <w:tabs>
                <w:tab w:val="left" w:pos="600"/>
              </w:tabs>
              <w:spacing w:line="360" w:lineRule="auto"/>
              <w:rPr>
                <w:sz w:val="24"/>
                <w:szCs w:val="24"/>
              </w:rPr>
            </w:pPr>
          </w:p>
          <w:p>
            <w:pPr>
              <w:tabs>
                <w:tab w:val="left" w:pos="600"/>
              </w:tabs>
              <w:spacing w:line="360" w:lineRule="auto"/>
              <w:rPr>
                <w:sz w:val="24"/>
                <w:szCs w:val="24"/>
              </w:rPr>
            </w:pPr>
          </w:p>
          <w:p>
            <w:pPr>
              <w:tabs>
                <w:tab w:val="left" w:pos="600"/>
              </w:tabs>
              <w:spacing w:line="360" w:lineRule="auto"/>
              <w:rPr>
                <w:sz w:val="24"/>
                <w:szCs w:val="24"/>
              </w:rPr>
            </w:pPr>
          </w:p>
          <w:p>
            <w:pPr>
              <w:tabs>
                <w:tab w:val="left" w:pos="600"/>
              </w:tabs>
              <w:spacing w:line="360" w:lineRule="auto"/>
              <w:rPr>
                <w:sz w:val="24"/>
                <w:szCs w:val="24"/>
              </w:rPr>
            </w:pPr>
          </w:p>
          <w:p>
            <w:pPr>
              <w:tabs>
                <w:tab w:val="left" w:pos="600"/>
              </w:tabs>
              <w:spacing w:line="360" w:lineRule="auto"/>
              <w:rPr>
                <w:sz w:val="24"/>
                <w:szCs w:val="24"/>
              </w:rPr>
            </w:pPr>
          </w:p>
          <w:p>
            <w:pPr>
              <w:tabs>
                <w:tab w:val="left" w:pos="600"/>
              </w:tabs>
              <w:spacing w:line="360" w:lineRule="auto"/>
              <w:rPr>
                <w:sz w:val="24"/>
                <w:szCs w:val="24"/>
              </w:rPr>
            </w:pPr>
          </w:p>
          <w:p>
            <w:pPr>
              <w:tabs>
                <w:tab w:val="left" w:pos="600"/>
              </w:tabs>
              <w:spacing w:line="360" w:lineRule="auto"/>
              <w:rPr>
                <w:sz w:val="24"/>
                <w:szCs w:val="24"/>
              </w:rPr>
            </w:pPr>
          </w:p>
          <w:p>
            <w:pPr>
              <w:tabs>
                <w:tab w:val="left" w:pos="600"/>
              </w:tabs>
              <w:spacing w:line="360" w:lineRule="auto"/>
              <w:rPr>
                <w:sz w:val="24"/>
                <w:szCs w:val="24"/>
              </w:rPr>
            </w:pPr>
          </w:p>
          <w:p>
            <w:pPr>
              <w:tabs>
                <w:tab w:val="left" w:pos="600"/>
              </w:tabs>
              <w:spacing w:line="360" w:lineRule="auto"/>
              <w:rPr>
                <w:sz w:val="24"/>
                <w:szCs w:val="24"/>
              </w:rPr>
            </w:pPr>
          </w:p>
          <w:p>
            <w:pPr>
              <w:tabs>
                <w:tab w:val="left" w:pos="600"/>
              </w:tabs>
              <w:spacing w:line="360" w:lineRule="auto"/>
              <w:rPr>
                <w:sz w:val="24"/>
                <w:szCs w:val="24"/>
              </w:rPr>
            </w:pPr>
          </w:p>
          <w:p>
            <w:pPr>
              <w:tabs>
                <w:tab w:val="left" w:pos="600"/>
              </w:tabs>
              <w:spacing w:line="360" w:lineRule="auto"/>
              <w:rPr>
                <w:sz w:val="24"/>
                <w:szCs w:val="24"/>
              </w:rPr>
            </w:pPr>
          </w:p>
          <w:p>
            <w:pPr>
              <w:tabs>
                <w:tab w:val="left" w:pos="600"/>
              </w:tabs>
              <w:spacing w:line="360" w:lineRule="auto"/>
              <w:rPr>
                <w:sz w:val="24"/>
                <w:szCs w:val="24"/>
              </w:rPr>
            </w:pPr>
          </w:p>
          <w:p>
            <w:pPr>
              <w:tabs>
                <w:tab w:val="left" w:pos="600"/>
              </w:tabs>
              <w:spacing w:line="360" w:lineRule="auto"/>
              <w:rPr>
                <w:sz w:val="24"/>
                <w:szCs w:val="24"/>
              </w:rPr>
            </w:pPr>
          </w:p>
          <w:p>
            <w:pPr>
              <w:tabs>
                <w:tab w:val="left" w:pos="600"/>
              </w:tabs>
              <w:spacing w:line="360" w:lineRule="auto"/>
              <w:rPr>
                <w:sz w:val="24"/>
                <w:szCs w:val="24"/>
              </w:rPr>
            </w:pPr>
          </w:p>
          <w:p>
            <w:pPr>
              <w:tabs>
                <w:tab w:val="left" w:pos="600"/>
              </w:tabs>
              <w:spacing w:line="360" w:lineRule="auto"/>
              <w:rPr>
                <w:sz w:val="24"/>
                <w:szCs w:val="24"/>
              </w:rPr>
            </w:pPr>
          </w:p>
          <w:p>
            <w:pPr>
              <w:tabs>
                <w:tab w:val="left" w:pos="600"/>
              </w:tabs>
              <w:spacing w:line="360" w:lineRule="auto"/>
              <w:rPr>
                <w:sz w:val="24"/>
                <w:szCs w:val="24"/>
              </w:rPr>
            </w:pPr>
          </w:p>
          <w:p>
            <w:pPr>
              <w:tabs>
                <w:tab w:val="left" w:pos="600"/>
              </w:tabs>
              <w:spacing w:line="360" w:lineRule="auto"/>
              <w:rPr>
                <w:sz w:val="24"/>
                <w:szCs w:val="24"/>
              </w:rPr>
            </w:pPr>
          </w:p>
          <w:p>
            <w:pPr>
              <w:tabs>
                <w:tab w:val="left" w:pos="600"/>
              </w:tabs>
              <w:spacing w:line="360" w:lineRule="auto"/>
              <w:rPr>
                <w:b/>
                <w:sz w:val="24"/>
                <w:szCs w:val="24"/>
              </w:rPr>
            </w:pPr>
          </w:p>
          <w:p>
            <w:pPr>
              <w:spacing w:line="360" w:lineRule="auto"/>
              <w:ind w:firstLine="6505" w:firstLineChars="2700"/>
              <w:rPr>
                <w:b/>
                <w:bCs/>
                <w:sz w:val="24"/>
                <w:szCs w:val="24"/>
              </w:rPr>
            </w:pPr>
            <w:r>
              <w:rPr>
                <w:b/>
                <w:bCs/>
                <w:sz w:val="24"/>
                <w:szCs w:val="24"/>
              </w:rPr>
              <w:t>公章</w:t>
            </w:r>
          </w:p>
          <w:p>
            <w:pPr>
              <w:spacing w:line="360" w:lineRule="auto"/>
              <w:rPr>
                <w:b/>
                <w:bCs/>
                <w:sz w:val="24"/>
                <w:szCs w:val="24"/>
              </w:rPr>
            </w:pPr>
            <w:r>
              <w:rPr>
                <w:b/>
                <w:bCs/>
                <w:sz w:val="24"/>
                <w:szCs w:val="24"/>
              </w:rPr>
              <w:t>经办人：</w:t>
            </w:r>
            <w:r>
              <w:rPr>
                <w:rFonts w:hint="eastAsia"/>
                <w:b/>
                <w:bCs/>
                <w:sz w:val="24"/>
                <w:szCs w:val="24"/>
              </w:rPr>
              <w:t xml:space="preserve">   </w:t>
            </w:r>
            <w:r>
              <w:rPr>
                <w:b/>
                <w:bCs/>
                <w:sz w:val="24"/>
                <w:szCs w:val="24"/>
              </w:rPr>
              <w:t xml:space="preserve"> 年</w:t>
            </w:r>
            <w:r>
              <w:rPr>
                <w:rFonts w:hint="eastAsia"/>
                <w:b/>
                <w:bCs/>
                <w:sz w:val="24"/>
                <w:szCs w:val="24"/>
              </w:rPr>
              <w:t xml:space="preserve">   </w:t>
            </w:r>
            <w:r>
              <w:rPr>
                <w:b/>
                <w:bCs/>
                <w:sz w:val="24"/>
                <w:szCs w:val="24"/>
              </w:rPr>
              <w:t>月</w:t>
            </w:r>
            <w:r>
              <w:rPr>
                <w:rFonts w:hint="eastAsia"/>
                <w:b/>
                <w:bCs/>
                <w:sz w:val="24"/>
                <w:szCs w:val="24"/>
              </w:rPr>
              <w:t xml:space="preserve">   </w:t>
            </w:r>
            <w:r>
              <w:rPr>
                <w:b/>
                <w:bCs/>
                <w:sz w:val="24"/>
                <w:szCs w:val="24"/>
              </w:rPr>
              <w:t>日</w:t>
            </w:r>
          </w:p>
          <w:p>
            <w:pPr>
              <w:spacing w:line="360" w:lineRule="auto"/>
              <w:rPr>
                <w:b/>
                <w:sz w:val="24"/>
                <w:szCs w:val="24"/>
              </w:rPr>
            </w:pPr>
          </w:p>
          <w:p>
            <w:pPr>
              <w:snapToGrid w:val="0"/>
              <w:spacing w:line="360" w:lineRule="auto"/>
              <w:jc w:val="left"/>
              <w:rPr>
                <w:sz w:val="24"/>
                <w:szCs w:val="24"/>
              </w:rPr>
            </w:pPr>
          </w:p>
        </w:tc>
      </w:tr>
    </w:tbl>
    <w:p>
      <w:pPr>
        <w:widowControl/>
        <w:adjustRightInd/>
        <w:spacing w:line="240" w:lineRule="auto"/>
        <w:jc w:val="left"/>
        <w:textAlignment w:val="auto"/>
        <w:rPr>
          <w:sz w:val="24"/>
          <w:szCs w:val="24"/>
        </w:rPr>
      </w:pPr>
      <w:r>
        <w:rPr>
          <w:sz w:val="24"/>
          <w:szCs w:val="24"/>
        </w:rPr>
        <w:br w:type="page"/>
      </w:r>
    </w:p>
    <w:tbl>
      <w:tblPr>
        <w:tblStyle w:val="28"/>
        <w:tblW w:w="5468" w:type="pct"/>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jc w:val="center"/>
              <w:rPr>
                <w:sz w:val="24"/>
                <w:szCs w:val="24"/>
              </w:rPr>
            </w:pPr>
            <w:r>
              <w:rPr>
                <w:sz w:val="24"/>
                <w:szCs w:val="24"/>
              </w:rPr>
              <w:br w:type="page"/>
            </w:r>
          </w:p>
          <w:p>
            <w:pPr>
              <w:spacing w:line="360" w:lineRule="auto"/>
              <w:jc w:val="center"/>
              <w:rPr>
                <w:b/>
                <w:sz w:val="36"/>
              </w:rPr>
            </w:pPr>
            <w:r>
              <w:rPr>
                <w:rFonts w:hint="eastAsia"/>
                <w:b/>
                <w:sz w:val="36"/>
              </w:rPr>
              <w:t>注     释</w:t>
            </w:r>
          </w:p>
          <w:p>
            <w:pPr>
              <w:spacing w:line="540" w:lineRule="exact"/>
              <w:ind w:firstLine="560" w:firstLineChars="200"/>
              <w:rPr>
                <w:sz w:val="28"/>
                <w:szCs w:val="28"/>
              </w:rPr>
            </w:pPr>
            <w:r>
              <w:rPr>
                <w:rFonts w:hint="eastAsia"/>
                <w:sz w:val="28"/>
                <w:szCs w:val="28"/>
              </w:rPr>
              <w:t>本报告表应附以下附件、附图：</w:t>
            </w:r>
          </w:p>
          <w:p>
            <w:pPr>
              <w:spacing w:line="540" w:lineRule="exact"/>
              <w:ind w:firstLine="560" w:firstLineChars="200"/>
              <w:rPr>
                <w:sz w:val="28"/>
                <w:szCs w:val="28"/>
              </w:rPr>
            </w:pPr>
            <w:r>
              <w:rPr>
                <w:rFonts w:hint="eastAsia"/>
                <w:sz w:val="28"/>
                <w:szCs w:val="28"/>
              </w:rPr>
              <w:t xml:space="preserve">附图1 </w:t>
            </w:r>
            <w:r>
              <w:rPr>
                <w:sz w:val="28"/>
                <w:szCs w:val="28"/>
              </w:rPr>
              <w:t xml:space="preserve"> </w:t>
            </w:r>
            <w:r>
              <w:rPr>
                <w:rFonts w:hint="eastAsia"/>
                <w:sz w:val="28"/>
                <w:szCs w:val="28"/>
              </w:rPr>
              <w:t>项目地理位置图</w:t>
            </w:r>
          </w:p>
          <w:p>
            <w:pPr>
              <w:spacing w:line="540" w:lineRule="exact"/>
              <w:ind w:firstLine="560" w:firstLineChars="200"/>
              <w:rPr>
                <w:sz w:val="28"/>
                <w:szCs w:val="28"/>
              </w:rPr>
            </w:pPr>
            <w:r>
              <w:rPr>
                <w:rFonts w:hint="eastAsia"/>
                <w:sz w:val="28"/>
                <w:szCs w:val="28"/>
              </w:rPr>
              <w:t xml:space="preserve">附图2 </w:t>
            </w:r>
            <w:r>
              <w:rPr>
                <w:sz w:val="28"/>
                <w:szCs w:val="28"/>
              </w:rPr>
              <w:t xml:space="preserve"> </w:t>
            </w:r>
            <w:r>
              <w:rPr>
                <w:rFonts w:hint="eastAsia"/>
                <w:sz w:val="28"/>
                <w:szCs w:val="28"/>
              </w:rPr>
              <w:t>主城区垃圾转运站平面布置图</w:t>
            </w:r>
          </w:p>
          <w:p>
            <w:pPr>
              <w:spacing w:line="540" w:lineRule="exact"/>
              <w:ind w:firstLine="560" w:firstLineChars="200"/>
              <w:rPr>
                <w:rFonts w:hint="eastAsia"/>
                <w:sz w:val="28"/>
                <w:szCs w:val="28"/>
              </w:rPr>
            </w:pPr>
            <w:r>
              <w:rPr>
                <w:rFonts w:hint="eastAsia"/>
                <w:sz w:val="28"/>
                <w:szCs w:val="28"/>
              </w:rPr>
              <w:t xml:space="preserve">附图3 </w:t>
            </w:r>
            <w:r>
              <w:rPr>
                <w:sz w:val="28"/>
                <w:szCs w:val="28"/>
              </w:rPr>
              <w:t xml:space="preserve"> </w:t>
            </w:r>
            <w:r>
              <w:rPr>
                <w:rFonts w:hint="eastAsia"/>
                <w:sz w:val="28"/>
                <w:szCs w:val="28"/>
              </w:rPr>
              <w:t>主城区垃圾转运站车间布置图</w:t>
            </w:r>
          </w:p>
          <w:p>
            <w:pPr>
              <w:spacing w:line="540" w:lineRule="exact"/>
              <w:ind w:firstLine="560" w:firstLineChars="200"/>
              <w:rPr>
                <w:rFonts w:hint="eastAsia"/>
                <w:sz w:val="28"/>
                <w:szCs w:val="28"/>
                <w:lang w:val="en-US" w:eastAsia="zh-CN"/>
              </w:rPr>
            </w:pPr>
            <w:r>
              <w:rPr>
                <w:rFonts w:hint="eastAsia"/>
                <w:sz w:val="28"/>
                <w:szCs w:val="28"/>
                <w:lang w:val="en-US" w:eastAsia="zh-CN"/>
              </w:rPr>
              <w:t>附图4  寿王坟镇垃圾转运站平面布置图</w:t>
            </w:r>
          </w:p>
          <w:p>
            <w:pPr>
              <w:spacing w:line="540" w:lineRule="exact"/>
              <w:ind w:firstLine="560" w:firstLineChars="200"/>
              <w:rPr>
                <w:rFonts w:hint="eastAsia"/>
                <w:sz w:val="28"/>
                <w:szCs w:val="28"/>
                <w:lang w:val="en-US" w:eastAsia="zh-CN"/>
              </w:rPr>
            </w:pPr>
            <w:r>
              <w:rPr>
                <w:rFonts w:hint="eastAsia"/>
                <w:sz w:val="28"/>
                <w:szCs w:val="28"/>
                <w:lang w:val="en-US" w:eastAsia="zh-CN"/>
              </w:rPr>
              <w:t>附图5  主城区垃圾转运站周边关系图</w:t>
            </w:r>
          </w:p>
          <w:p>
            <w:pPr>
              <w:spacing w:line="540" w:lineRule="exact"/>
              <w:ind w:firstLine="560" w:firstLineChars="200"/>
              <w:rPr>
                <w:rFonts w:hint="default"/>
                <w:sz w:val="28"/>
                <w:szCs w:val="28"/>
                <w:lang w:val="en-US" w:eastAsia="zh-CN"/>
              </w:rPr>
            </w:pPr>
            <w:r>
              <w:rPr>
                <w:rFonts w:hint="eastAsia"/>
                <w:sz w:val="28"/>
                <w:szCs w:val="28"/>
                <w:lang w:val="en-US" w:eastAsia="zh-CN"/>
              </w:rPr>
              <w:t>附图6  寿王坟镇垃圾转运站周边关系图</w:t>
            </w:r>
          </w:p>
          <w:p>
            <w:pPr>
              <w:spacing w:line="540" w:lineRule="exact"/>
              <w:ind w:firstLine="560" w:firstLineChars="200"/>
              <w:rPr>
                <w:sz w:val="28"/>
                <w:szCs w:val="28"/>
              </w:rPr>
            </w:pPr>
            <w:r>
              <w:rPr>
                <w:rFonts w:hint="eastAsia"/>
                <w:sz w:val="28"/>
                <w:szCs w:val="28"/>
              </w:rPr>
              <w:t>附件</w:t>
            </w:r>
            <w:r>
              <w:rPr>
                <w:rFonts w:hint="eastAsia"/>
                <w:sz w:val="28"/>
                <w:szCs w:val="28"/>
                <w:lang w:val="en-US" w:eastAsia="zh-CN"/>
              </w:rPr>
              <w:t>1</w:t>
            </w:r>
            <w:r>
              <w:rPr>
                <w:sz w:val="28"/>
                <w:szCs w:val="28"/>
              </w:rPr>
              <w:t xml:space="preserve">  </w:t>
            </w:r>
            <w:r>
              <w:rPr>
                <w:rFonts w:hint="eastAsia"/>
                <w:sz w:val="28"/>
                <w:szCs w:val="28"/>
              </w:rPr>
              <w:t>委托书</w:t>
            </w:r>
          </w:p>
          <w:p>
            <w:pPr>
              <w:spacing w:line="540" w:lineRule="exact"/>
              <w:ind w:firstLine="560" w:firstLineChars="200"/>
              <w:rPr>
                <w:sz w:val="28"/>
                <w:szCs w:val="28"/>
              </w:rPr>
            </w:pPr>
            <w:r>
              <w:rPr>
                <w:rFonts w:hint="eastAsia"/>
                <w:sz w:val="28"/>
                <w:szCs w:val="28"/>
              </w:rPr>
              <w:t>附件</w:t>
            </w:r>
            <w:r>
              <w:rPr>
                <w:rFonts w:hint="eastAsia"/>
                <w:sz w:val="28"/>
                <w:szCs w:val="28"/>
                <w:lang w:val="en-US" w:eastAsia="zh-CN"/>
              </w:rPr>
              <w:t>2</w:t>
            </w:r>
            <w:r>
              <w:rPr>
                <w:rFonts w:hint="eastAsia"/>
                <w:sz w:val="28"/>
                <w:szCs w:val="28"/>
              </w:rPr>
              <w:t xml:space="preserve"> </w:t>
            </w:r>
            <w:r>
              <w:rPr>
                <w:sz w:val="28"/>
                <w:szCs w:val="28"/>
              </w:rPr>
              <w:t xml:space="preserve"> </w:t>
            </w:r>
            <w:r>
              <w:rPr>
                <w:rFonts w:hint="eastAsia"/>
                <w:sz w:val="28"/>
                <w:szCs w:val="28"/>
              </w:rPr>
              <w:t>土地预审文件</w:t>
            </w:r>
          </w:p>
          <w:p>
            <w:pPr>
              <w:spacing w:line="540" w:lineRule="exact"/>
              <w:ind w:firstLine="560" w:firstLineChars="200"/>
              <w:rPr>
                <w:sz w:val="28"/>
                <w:szCs w:val="28"/>
              </w:rPr>
            </w:pPr>
            <w:r>
              <w:rPr>
                <w:rFonts w:hint="eastAsia"/>
                <w:sz w:val="28"/>
                <w:szCs w:val="28"/>
              </w:rPr>
              <w:t>附件</w:t>
            </w:r>
            <w:r>
              <w:rPr>
                <w:rFonts w:hint="eastAsia"/>
                <w:sz w:val="28"/>
                <w:szCs w:val="28"/>
                <w:lang w:val="en-US" w:eastAsia="zh-CN"/>
              </w:rPr>
              <w:t>3</w:t>
            </w:r>
            <w:r>
              <w:rPr>
                <w:rFonts w:hint="eastAsia"/>
                <w:sz w:val="28"/>
                <w:szCs w:val="28"/>
              </w:rPr>
              <w:t xml:space="preserve"> </w:t>
            </w:r>
            <w:r>
              <w:rPr>
                <w:sz w:val="28"/>
                <w:szCs w:val="28"/>
              </w:rPr>
              <w:t xml:space="preserve"> </w:t>
            </w:r>
            <w:r>
              <w:rPr>
                <w:rFonts w:hint="eastAsia"/>
                <w:sz w:val="28"/>
                <w:szCs w:val="28"/>
              </w:rPr>
              <w:t>项目选址意见书</w:t>
            </w:r>
          </w:p>
          <w:p>
            <w:pPr>
              <w:spacing w:line="540" w:lineRule="exact"/>
              <w:ind w:firstLine="560" w:firstLineChars="200"/>
              <w:rPr>
                <w:sz w:val="28"/>
                <w:szCs w:val="28"/>
              </w:rPr>
            </w:pPr>
            <w:r>
              <w:rPr>
                <w:rFonts w:hint="eastAsia"/>
                <w:sz w:val="28"/>
                <w:szCs w:val="28"/>
              </w:rPr>
              <w:t>附件</w:t>
            </w:r>
            <w:r>
              <w:rPr>
                <w:rFonts w:hint="eastAsia"/>
                <w:sz w:val="28"/>
                <w:szCs w:val="28"/>
                <w:lang w:val="en-US" w:eastAsia="zh-CN"/>
              </w:rPr>
              <w:t>4</w:t>
            </w:r>
            <w:r>
              <w:rPr>
                <w:rFonts w:hint="eastAsia"/>
                <w:sz w:val="28"/>
                <w:szCs w:val="28"/>
              </w:rPr>
              <w:t xml:space="preserve"> </w:t>
            </w:r>
            <w:r>
              <w:rPr>
                <w:sz w:val="28"/>
                <w:szCs w:val="28"/>
              </w:rPr>
              <w:t xml:space="preserve"> </w:t>
            </w:r>
            <w:r>
              <w:rPr>
                <w:rFonts w:hint="eastAsia"/>
                <w:sz w:val="28"/>
                <w:szCs w:val="28"/>
              </w:rPr>
              <w:t>项目取水证</w:t>
            </w:r>
          </w:p>
          <w:p>
            <w:pPr>
              <w:spacing w:line="540" w:lineRule="exact"/>
              <w:ind w:firstLine="560" w:firstLineChars="200"/>
              <w:rPr>
                <w:sz w:val="28"/>
                <w:szCs w:val="28"/>
              </w:rPr>
            </w:pPr>
            <w:r>
              <w:rPr>
                <w:rFonts w:hint="eastAsia"/>
                <w:sz w:val="28"/>
                <w:szCs w:val="28"/>
              </w:rPr>
              <w:t>附件</w:t>
            </w:r>
            <w:r>
              <w:rPr>
                <w:rFonts w:hint="eastAsia"/>
                <w:sz w:val="28"/>
                <w:szCs w:val="28"/>
                <w:lang w:val="en-US" w:eastAsia="zh-CN"/>
              </w:rPr>
              <w:t>5</w:t>
            </w:r>
            <w:r>
              <w:rPr>
                <w:rFonts w:hint="eastAsia"/>
                <w:sz w:val="28"/>
                <w:szCs w:val="28"/>
              </w:rPr>
              <w:t xml:space="preserve"> </w:t>
            </w:r>
            <w:r>
              <w:rPr>
                <w:sz w:val="28"/>
                <w:szCs w:val="28"/>
              </w:rPr>
              <w:t xml:space="preserve"> </w:t>
            </w:r>
            <w:r>
              <w:rPr>
                <w:rFonts w:hint="eastAsia"/>
                <w:sz w:val="28"/>
                <w:szCs w:val="28"/>
              </w:rPr>
              <w:t>项目供电证</w:t>
            </w:r>
          </w:p>
          <w:p>
            <w:pPr>
              <w:widowControl/>
              <w:adjustRightInd/>
              <w:spacing w:line="240" w:lineRule="auto"/>
              <w:ind w:firstLine="560" w:firstLineChars="200"/>
              <w:jc w:val="left"/>
              <w:textAlignment w:val="auto"/>
              <w:rPr>
                <w:sz w:val="28"/>
                <w:szCs w:val="28"/>
              </w:rPr>
            </w:pPr>
            <w:r>
              <w:rPr>
                <w:rFonts w:hint="eastAsia"/>
                <w:sz w:val="28"/>
                <w:szCs w:val="28"/>
              </w:rPr>
              <w:t>附件</w:t>
            </w:r>
            <w:r>
              <w:rPr>
                <w:rFonts w:hint="eastAsia"/>
                <w:sz w:val="28"/>
                <w:szCs w:val="28"/>
                <w:lang w:val="en-US" w:eastAsia="zh-CN"/>
              </w:rPr>
              <w:t>6</w:t>
            </w:r>
            <w:r>
              <w:rPr>
                <w:rFonts w:hint="eastAsia"/>
                <w:sz w:val="28"/>
                <w:szCs w:val="28"/>
              </w:rPr>
              <w:t xml:space="preserve"> </w:t>
            </w:r>
            <w:r>
              <w:rPr>
                <w:sz w:val="28"/>
                <w:szCs w:val="28"/>
              </w:rPr>
              <w:t xml:space="preserve"> </w:t>
            </w:r>
            <w:r>
              <w:rPr>
                <w:rFonts w:hint="eastAsia"/>
                <w:sz w:val="28"/>
                <w:szCs w:val="28"/>
              </w:rPr>
              <w:t>居民搬迁信息</w:t>
            </w:r>
          </w:p>
          <w:p>
            <w:pPr>
              <w:widowControl/>
              <w:adjustRightInd/>
              <w:spacing w:line="240" w:lineRule="auto"/>
              <w:ind w:firstLine="560" w:firstLineChars="200"/>
              <w:jc w:val="left"/>
              <w:textAlignment w:val="auto"/>
              <w:rPr>
                <w:sz w:val="28"/>
                <w:szCs w:val="28"/>
              </w:rPr>
            </w:pPr>
          </w:p>
          <w:p>
            <w:pPr>
              <w:widowControl/>
              <w:adjustRightInd/>
              <w:spacing w:line="240" w:lineRule="auto"/>
              <w:ind w:firstLine="560" w:firstLineChars="200"/>
              <w:jc w:val="left"/>
              <w:textAlignment w:val="auto"/>
              <w:rPr>
                <w:sz w:val="28"/>
                <w:szCs w:val="28"/>
              </w:rPr>
            </w:pPr>
          </w:p>
          <w:p>
            <w:pPr>
              <w:widowControl/>
              <w:adjustRightInd/>
              <w:spacing w:line="240" w:lineRule="auto"/>
              <w:ind w:firstLine="560" w:firstLineChars="200"/>
              <w:jc w:val="left"/>
              <w:textAlignment w:val="auto"/>
              <w:rPr>
                <w:sz w:val="28"/>
                <w:szCs w:val="28"/>
              </w:rPr>
            </w:pPr>
          </w:p>
          <w:p>
            <w:pPr>
              <w:widowControl/>
              <w:adjustRightInd/>
              <w:spacing w:line="240" w:lineRule="auto"/>
              <w:ind w:firstLine="560" w:firstLineChars="200"/>
              <w:jc w:val="left"/>
              <w:textAlignment w:val="auto"/>
              <w:rPr>
                <w:sz w:val="28"/>
                <w:szCs w:val="28"/>
              </w:rPr>
            </w:pPr>
          </w:p>
          <w:p>
            <w:pPr>
              <w:widowControl/>
              <w:adjustRightInd/>
              <w:spacing w:line="240" w:lineRule="auto"/>
              <w:ind w:firstLine="560" w:firstLineChars="200"/>
              <w:jc w:val="left"/>
              <w:textAlignment w:val="auto"/>
              <w:rPr>
                <w:sz w:val="28"/>
                <w:szCs w:val="28"/>
              </w:rPr>
            </w:pPr>
          </w:p>
          <w:p>
            <w:pPr>
              <w:widowControl/>
              <w:adjustRightInd/>
              <w:spacing w:line="240" w:lineRule="auto"/>
              <w:jc w:val="left"/>
              <w:textAlignment w:val="auto"/>
              <w:rPr>
                <w:sz w:val="28"/>
                <w:szCs w:val="28"/>
              </w:rPr>
            </w:pPr>
          </w:p>
          <w:p>
            <w:pPr>
              <w:widowControl/>
              <w:adjustRightInd/>
              <w:spacing w:line="240" w:lineRule="auto"/>
              <w:jc w:val="left"/>
              <w:textAlignment w:val="auto"/>
              <w:rPr>
                <w:sz w:val="28"/>
                <w:szCs w:val="28"/>
              </w:rPr>
            </w:pPr>
          </w:p>
          <w:p>
            <w:pPr>
              <w:widowControl/>
              <w:adjustRightInd/>
              <w:spacing w:line="240" w:lineRule="auto"/>
              <w:ind w:firstLine="560" w:firstLineChars="200"/>
              <w:jc w:val="left"/>
              <w:textAlignment w:val="auto"/>
              <w:rPr>
                <w:sz w:val="28"/>
                <w:szCs w:val="28"/>
              </w:rPr>
            </w:pPr>
          </w:p>
          <w:p>
            <w:pPr>
              <w:widowControl/>
              <w:adjustRightInd/>
              <w:spacing w:line="240" w:lineRule="auto"/>
              <w:ind w:firstLine="480" w:firstLineChars="200"/>
              <w:jc w:val="left"/>
              <w:textAlignment w:val="auto"/>
              <w:rPr>
                <w:sz w:val="24"/>
                <w:szCs w:val="24"/>
              </w:rPr>
            </w:pPr>
          </w:p>
        </w:tc>
      </w:tr>
    </w:tbl>
    <w:p>
      <w:pPr>
        <w:widowControl/>
        <w:adjustRightInd/>
        <w:spacing w:line="240" w:lineRule="auto"/>
        <w:jc w:val="left"/>
        <w:textAlignment w:val="auto"/>
        <w:rPr>
          <w:sz w:val="24"/>
          <w:szCs w:val="24"/>
        </w:rPr>
      </w:pPr>
    </w:p>
    <w:p>
      <w:pPr>
        <w:spacing w:line="360" w:lineRule="auto"/>
        <w:rPr>
          <w:sz w:val="24"/>
          <w:szCs w:val="24"/>
        </w:rPr>
        <w:sectPr>
          <w:pgSz w:w="11906" w:h="16838"/>
          <w:pgMar w:top="1440" w:right="1800" w:bottom="1440" w:left="1800" w:header="851" w:footer="992" w:gutter="0"/>
          <w:cols w:space="720" w:num="1"/>
          <w:docGrid w:type="lines" w:linePitch="312" w:charSpace="0"/>
        </w:sectPr>
      </w:pPr>
    </w:p>
    <w:tbl>
      <w:tblPr>
        <w:tblStyle w:val="27"/>
        <w:tblW w:w="5000" w:type="pct"/>
        <w:tblInd w:w="0" w:type="dxa"/>
        <w:tblLayout w:type="fixed"/>
        <w:tblCellMar>
          <w:top w:w="0" w:type="dxa"/>
          <w:left w:w="108" w:type="dxa"/>
          <w:bottom w:w="0" w:type="dxa"/>
          <w:right w:w="108" w:type="dxa"/>
        </w:tblCellMar>
      </w:tblPr>
      <w:tblGrid>
        <w:gridCol w:w="631"/>
        <w:gridCol w:w="499"/>
        <w:gridCol w:w="143"/>
        <w:gridCol w:w="1302"/>
        <w:gridCol w:w="1577"/>
        <w:gridCol w:w="2580"/>
        <w:gridCol w:w="1430"/>
        <w:gridCol w:w="368"/>
        <w:gridCol w:w="1785"/>
        <w:gridCol w:w="246"/>
        <w:gridCol w:w="1903"/>
        <w:gridCol w:w="2000"/>
        <w:gridCol w:w="727"/>
        <w:gridCol w:w="850"/>
        <w:gridCol w:w="1227"/>
        <w:gridCol w:w="211"/>
        <w:gridCol w:w="1252"/>
        <w:gridCol w:w="2415"/>
      </w:tblGrid>
      <w:tr>
        <w:tblPrEx>
          <w:tblCellMar>
            <w:top w:w="0" w:type="dxa"/>
            <w:left w:w="108" w:type="dxa"/>
            <w:bottom w:w="0" w:type="dxa"/>
            <w:right w:w="108" w:type="dxa"/>
          </w:tblCellMar>
        </w:tblPrEx>
        <w:trPr>
          <w:trHeight w:val="418" w:hRule="atLeast"/>
        </w:trPr>
        <w:tc>
          <w:tcPr>
            <w:tcW w:w="5000" w:type="pct"/>
            <w:gridSpan w:val="18"/>
            <w:tcBorders>
              <w:top w:val="nil"/>
              <w:left w:val="nil"/>
              <w:bottom w:val="nil"/>
              <w:right w:val="nil"/>
            </w:tcBorders>
            <w:shd w:val="clear" w:color="auto" w:fill="auto"/>
            <w:noWrap/>
            <w:vAlign w:val="center"/>
          </w:tcPr>
          <w:p>
            <w:pPr>
              <w:widowControl/>
              <w:adjustRightInd/>
              <w:spacing w:line="240" w:lineRule="auto"/>
              <w:jc w:val="center"/>
              <w:textAlignment w:val="auto"/>
              <w:rPr>
                <w:sz w:val="36"/>
                <w:szCs w:val="36"/>
              </w:rPr>
            </w:pPr>
            <w:r>
              <w:rPr>
                <w:sz w:val="36"/>
                <w:szCs w:val="36"/>
              </w:rPr>
              <w:t>建设项目环评审批基础信息表</w:t>
            </w:r>
          </w:p>
        </w:tc>
      </w:tr>
      <w:tr>
        <w:tblPrEx>
          <w:tblCellMar>
            <w:top w:w="0" w:type="dxa"/>
            <w:left w:w="108" w:type="dxa"/>
            <w:bottom w:w="0" w:type="dxa"/>
            <w:right w:w="108" w:type="dxa"/>
          </w:tblCellMar>
        </w:tblPrEx>
        <w:trPr>
          <w:trHeight w:val="285" w:hRule="atLeast"/>
        </w:trPr>
        <w:tc>
          <w:tcPr>
            <w:tcW w:w="5000" w:type="pct"/>
            <w:gridSpan w:val="18"/>
            <w:tcBorders>
              <w:top w:val="nil"/>
              <w:left w:val="nil"/>
              <w:bottom w:val="single" w:color="auto" w:sz="4" w:space="0"/>
              <w:right w:val="nil"/>
            </w:tcBorders>
            <w:shd w:val="clear" w:color="auto" w:fill="auto"/>
            <w:noWrap/>
            <w:vAlign w:val="center"/>
          </w:tcPr>
          <w:p>
            <w:pPr>
              <w:widowControl/>
              <w:adjustRightInd/>
              <w:spacing w:line="220" w:lineRule="exact"/>
              <w:jc w:val="left"/>
              <w:textAlignment w:val="auto"/>
              <w:rPr>
                <w:sz w:val="18"/>
                <w:szCs w:val="18"/>
              </w:rPr>
            </w:pPr>
            <w:r>
              <w:rPr>
                <w:sz w:val="18"/>
                <w:szCs w:val="18"/>
              </w:rPr>
              <w:t>填表单位（盖章）：</w:t>
            </w:r>
            <w:r>
              <w:rPr>
                <w:rFonts w:hint="eastAsia"/>
                <w:kern w:val="2"/>
                <w:sz w:val="18"/>
                <w:szCs w:val="18"/>
              </w:rPr>
              <w:t>承德市鹰手营子矿区利民环卫清洁有限责任公司</w:t>
            </w:r>
            <w:r>
              <w:rPr>
                <w:sz w:val="18"/>
                <w:szCs w:val="18"/>
              </w:rPr>
              <w:t xml:space="preserve">                                                                                         </w:t>
            </w:r>
            <w:r>
              <w:rPr>
                <w:sz w:val="22"/>
                <w:szCs w:val="22"/>
              </w:rPr>
              <w:t>填表人（签字）：                 项目经办人（签字）：</w:t>
            </w:r>
          </w:p>
        </w:tc>
      </w:tr>
      <w:tr>
        <w:tblPrEx>
          <w:tblCellMar>
            <w:top w:w="0" w:type="dxa"/>
            <w:left w:w="108" w:type="dxa"/>
            <w:bottom w:w="0" w:type="dxa"/>
            <w:right w:w="108" w:type="dxa"/>
          </w:tblCellMar>
        </w:tblPrEx>
        <w:trPr>
          <w:trHeight w:val="271" w:hRule="atLeast"/>
        </w:trPr>
        <w:tc>
          <w:tcPr>
            <w:tcW w:w="149"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建 设</w:t>
            </w:r>
            <w:r>
              <w:rPr>
                <w:b/>
                <w:bCs/>
                <w:sz w:val="18"/>
                <w:szCs w:val="18"/>
              </w:rPr>
              <w:br w:type="textWrapping"/>
            </w:r>
            <w:r>
              <w:rPr>
                <w:b/>
                <w:bCs/>
                <w:sz w:val="18"/>
                <w:szCs w:val="18"/>
              </w:rPr>
              <w:t>项 目</w:t>
            </w:r>
          </w:p>
        </w:tc>
        <w:tc>
          <w:tcPr>
            <w:tcW w:w="460" w:type="pct"/>
            <w:gridSpan w:val="3"/>
            <w:tcBorders>
              <w:top w:val="single" w:color="auto" w:sz="4" w:space="0"/>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项目名称</w:t>
            </w:r>
          </w:p>
        </w:tc>
        <w:tc>
          <w:tcPr>
            <w:tcW w:w="1830" w:type="pct"/>
            <w:gridSpan w:val="5"/>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rFonts w:hint="eastAsia" w:eastAsia="宋体"/>
                <w:sz w:val="18"/>
                <w:szCs w:val="18"/>
                <w:lang w:eastAsia="zh-CN"/>
              </w:rPr>
            </w:pPr>
            <w:r>
              <w:rPr>
                <w:rFonts w:hint="eastAsia"/>
                <w:bCs/>
                <w:spacing w:val="-4"/>
                <w:kern w:val="2"/>
                <w:sz w:val="18"/>
                <w:szCs w:val="18"/>
                <w:lang w:eastAsia="zh-CN"/>
              </w:rPr>
              <w:t>承德市鹰手营子矿区生活垃圾中转站工程项目</w:t>
            </w:r>
          </w:p>
        </w:tc>
        <w:tc>
          <w:tcPr>
            <w:tcW w:w="981" w:type="pct"/>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建设地点</w:t>
            </w:r>
          </w:p>
        </w:tc>
        <w:tc>
          <w:tcPr>
            <w:tcW w:w="1580" w:type="pct"/>
            <w:gridSpan w:val="6"/>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20" w:lineRule="exact"/>
              <w:jc w:val="center"/>
              <w:textAlignment w:val="auto"/>
              <w:rPr>
                <w:sz w:val="18"/>
                <w:szCs w:val="18"/>
              </w:rPr>
            </w:pPr>
            <w:r>
              <w:rPr>
                <w:sz w:val="18"/>
                <w:szCs w:val="18"/>
              </w:rPr>
              <w:t>　承德市鹰手营子矿区</w:t>
            </w:r>
          </w:p>
        </w:tc>
      </w:tr>
      <w:tr>
        <w:tblPrEx>
          <w:tblCellMar>
            <w:top w:w="0" w:type="dxa"/>
            <w:left w:w="108" w:type="dxa"/>
            <w:bottom w:w="0" w:type="dxa"/>
            <w:right w:w="108" w:type="dxa"/>
          </w:tblCellMar>
        </w:tblPrEx>
        <w:trPr>
          <w:trHeight w:val="119" w:hRule="atLeast"/>
        </w:trPr>
        <w:tc>
          <w:tcPr>
            <w:tcW w:w="149" w:type="pct"/>
            <w:vMerge w:val="continue"/>
            <w:tcBorders>
              <w:top w:val="nil"/>
              <w:left w:val="single" w:color="auto" w:sz="4" w:space="0"/>
              <w:bottom w:val="single" w:color="auto" w:sz="4" w:space="0"/>
              <w:right w:val="single" w:color="auto" w:sz="4" w:space="0"/>
            </w:tcBorders>
            <w:vAlign w:val="center"/>
          </w:tcPr>
          <w:p>
            <w:pPr>
              <w:widowControl/>
              <w:adjustRightInd/>
              <w:spacing w:line="220" w:lineRule="exact"/>
              <w:jc w:val="left"/>
              <w:textAlignment w:val="auto"/>
              <w:rPr>
                <w:b/>
                <w:bCs/>
                <w:sz w:val="18"/>
                <w:szCs w:val="18"/>
              </w:rPr>
            </w:pPr>
          </w:p>
        </w:tc>
        <w:tc>
          <w:tcPr>
            <w:tcW w:w="460" w:type="pct"/>
            <w:gridSpan w:val="3"/>
            <w:tcBorders>
              <w:top w:val="single" w:color="auto" w:sz="4" w:space="0"/>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项目代码</w:t>
            </w:r>
            <w:r>
              <w:rPr>
                <w:b/>
                <w:bCs/>
                <w:sz w:val="18"/>
                <w:szCs w:val="18"/>
                <w:vertAlign w:val="superscript"/>
              </w:rPr>
              <w:t>1</w:t>
            </w:r>
          </w:p>
        </w:tc>
        <w:tc>
          <w:tcPr>
            <w:tcW w:w="1830" w:type="pct"/>
            <w:gridSpan w:val="5"/>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sz w:val="18"/>
                <w:szCs w:val="18"/>
              </w:rPr>
            </w:pPr>
            <w:r>
              <w:rPr>
                <w:sz w:val="18"/>
                <w:szCs w:val="18"/>
              </w:rPr>
              <w:t>　</w:t>
            </w:r>
          </w:p>
        </w:tc>
        <w:tc>
          <w:tcPr>
            <w:tcW w:w="981" w:type="pct"/>
            <w:gridSpan w:val="3"/>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20" w:lineRule="exact"/>
              <w:jc w:val="left"/>
              <w:textAlignment w:val="auto"/>
              <w:rPr>
                <w:b/>
                <w:bCs/>
                <w:sz w:val="18"/>
                <w:szCs w:val="18"/>
              </w:rPr>
            </w:pPr>
          </w:p>
        </w:tc>
        <w:tc>
          <w:tcPr>
            <w:tcW w:w="1580" w:type="pct"/>
            <w:gridSpan w:val="6"/>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20" w:lineRule="exact"/>
              <w:jc w:val="left"/>
              <w:textAlignment w:val="auto"/>
              <w:rPr>
                <w:sz w:val="18"/>
                <w:szCs w:val="18"/>
              </w:rPr>
            </w:pPr>
          </w:p>
        </w:tc>
      </w:tr>
      <w:tr>
        <w:tblPrEx>
          <w:tblCellMar>
            <w:top w:w="0" w:type="dxa"/>
            <w:left w:w="108" w:type="dxa"/>
            <w:bottom w:w="0" w:type="dxa"/>
            <w:right w:w="108" w:type="dxa"/>
          </w:tblCellMar>
        </w:tblPrEx>
        <w:trPr>
          <w:trHeight w:val="316" w:hRule="atLeast"/>
        </w:trPr>
        <w:tc>
          <w:tcPr>
            <w:tcW w:w="149" w:type="pct"/>
            <w:vMerge w:val="continue"/>
            <w:tcBorders>
              <w:top w:val="nil"/>
              <w:left w:val="single" w:color="auto" w:sz="4" w:space="0"/>
              <w:bottom w:val="single" w:color="auto" w:sz="4" w:space="0"/>
              <w:right w:val="single" w:color="auto" w:sz="4" w:space="0"/>
            </w:tcBorders>
            <w:vAlign w:val="center"/>
          </w:tcPr>
          <w:p>
            <w:pPr>
              <w:widowControl/>
              <w:adjustRightInd/>
              <w:spacing w:line="220" w:lineRule="exact"/>
              <w:jc w:val="left"/>
              <w:textAlignment w:val="auto"/>
              <w:rPr>
                <w:b/>
                <w:bCs/>
                <w:sz w:val="18"/>
                <w:szCs w:val="18"/>
              </w:rPr>
            </w:pPr>
          </w:p>
        </w:tc>
        <w:tc>
          <w:tcPr>
            <w:tcW w:w="460" w:type="pct"/>
            <w:gridSpan w:val="3"/>
            <w:tcBorders>
              <w:top w:val="single" w:color="auto" w:sz="4" w:space="0"/>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建设内容、规模</w:t>
            </w:r>
          </w:p>
        </w:tc>
        <w:tc>
          <w:tcPr>
            <w:tcW w:w="1830" w:type="pct"/>
            <w:gridSpan w:val="5"/>
            <w:tcBorders>
              <w:top w:val="single" w:color="auto" w:sz="4" w:space="0"/>
              <w:left w:val="nil"/>
              <w:bottom w:val="single" w:color="auto" w:sz="4" w:space="0"/>
              <w:right w:val="single" w:color="000000" w:sz="4" w:space="0"/>
            </w:tcBorders>
            <w:shd w:val="clear" w:color="auto" w:fill="auto"/>
            <w:noWrap/>
            <w:vAlign w:val="center"/>
          </w:tcPr>
          <w:p>
            <w:pPr>
              <w:widowControl/>
              <w:adjustRightInd/>
              <w:spacing w:line="220" w:lineRule="exact"/>
              <w:jc w:val="center"/>
              <w:textAlignment w:val="auto"/>
              <w:rPr>
                <w:sz w:val="18"/>
                <w:szCs w:val="18"/>
              </w:rPr>
            </w:pPr>
            <w:r>
              <w:rPr>
                <w:sz w:val="18"/>
                <w:szCs w:val="18"/>
              </w:rPr>
              <w:t>建设内容：</w:t>
            </w:r>
            <w:r>
              <w:rPr>
                <w:rFonts w:hint="eastAsia"/>
                <w:sz w:val="18"/>
                <w:szCs w:val="18"/>
              </w:rPr>
              <w:t>生活垃圾转运站两座</w:t>
            </w:r>
            <w:r>
              <w:rPr>
                <w:sz w:val="18"/>
                <w:szCs w:val="18"/>
              </w:rPr>
              <w:t xml:space="preserve"> </w:t>
            </w:r>
          </w:p>
          <w:p>
            <w:pPr>
              <w:widowControl/>
              <w:adjustRightInd/>
              <w:spacing w:line="220" w:lineRule="exact"/>
              <w:jc w:val="center"/>
              <w:textAlignment w:val="auto"/>
              <w:rPr>
                <w:sz w:val="18"/>
                <w:szCs w:val="18"/>
              </w:rPr>
            </w:pPr>
            <w:r>
              <w:rPr>
                <w:sz w:val="18"/>
                <w:szCs w:val="18"/>
              </w:rPr>
              <w:t>规模：主城区</w:t>
            </w:r>
            <w:r>
              <w:rPr>
                <w:rFonts w:hint="eastAsia"/>
                <w:sz w:val="18"/>
                <w:szCs w:val="18"/>
              </w:rPr>
              <w:t>规模1</w:t>
            </w:r>
            <w:r>
              <w:rPr>
                <w:sz w:val="18"/>
                <w:szCs w:val="18"/>
              </w:rPr>
              <w:t>20t/d</w:t>
            </w:r>
            <w:r>
              <w:rPr>
                <w:rFonts w:hint="eastAsia"/>
                <w:sz w:val="18"/>
                <w:szCs w:val="18"/>
              </w:rPr>
              <w:t>生活垃圾转运站；寿王坟镇规模2</w:t>
            </w:r>
            <w:r>
              <w:rPr>
                <w:sz w:val="18"/>
                <w:szCs w:val="18"/>
              </w:rPr>
              <w:t>0t/d生活垃圾转运站</w:t>
            </w:r>
          </w:p>
        </w:tc>
        <w:tc>
          <w:tcPr>
            <w:tcW w:w="981" w:type="pct"/>
            <w:gridSpan w:val="3"/>
            <w:tcBorders>
              <w:top w:val="single" w:color="auto" w:sz="4" w:space="0"/>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计划开工时间</w:t>
            </w:r>
          </w:p>
        </w:tc>
        <w:tc>
          <w:tcPr>
            <w:tcW w:w="1580" w:type="pct"/>
            <w:gridSpan w:val="6"/>
            <w:tcBorders>
              <w:top w:val="single" w:color="auto" w:sz="4" w:space="0"/>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sz w:val="18"/>
                <w:szCs w:val="18"/>
              </w:rPr>
            </w:pPr>
            <w:r>
              <w:rPr>
                <w:sz w:val="18"/>
                <w:szCs w:val="18"/>
              </w:rPr>
              <w:t>　-</w:t>
            </w:r>
          </w:p>
        </w:tc>
      </w:tr>
      <w:tr>
        <w:tblPrEx>
          <w:tblCellMar>
            <w:top w:w="0" w:type="dxa"/>
            <w:left w:w="108" w:type="dxa"/>
            <w:bottom w:w="0" w:type="dxa"/>
            <w:right w:w="108" w:type="dxa"/>
          </w:tblCellMar>
        </w:tblPrEx>
        <w:trPr>
          <w:trHeight w:val="254" w:hRule="atLeast"/>
        </w:trPr>
        <w:tc>
          <w:tcPr>
            <w:tcW w:w="149" w:type="pct"/>
            <w:vMerge w:val="continue"/>
            <w:tcBorders>
              <w:top w:val="nil"/>
              <w:left w:val="single" w:color="auto" w:sz="4" w:space="0"/>
              <w:bottom w:val="single" w:color="auto" w:sz="4" w:space="0"/>
              <w:right w:val="single" w:color="auto" w:sz="4" w:space="0"/>
            </w:tcBorders>
            <w:vAlign w:val="center"/>
          </w:tcPr>
          <w:p>
            <w:pPr>
              <w:widowControl/>
              <w:adjustRightInd/>
              <w:spacing w:line="220" w:lineRule="exact"/>
              <w:jc w:val="left"/>
              <w:textAlignment w:val="auto"/>
              <w:rPr>
                <w:b/>
                <w:bCs/>
                <w:sz w:val="18"/>
                <w:szCs w:val="18"/>
              </w:rPr>
            </w:pPr>
          </w:p>
        </w:tc>
        <w:tc>
          <w:tcPr>
            <w:tcW w:w="460" w:type="pct"/>
            <w:gridSpan w:val="3"/>
            <w:tcBorders>
              <w:top w:val="single" w:color="auto" w:sz="4" w:space="0"/>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项目建设周期</w:t>
            </w:r>
          </w:p>
        </w:tc>
        <w:tc>
          <w:tcPr>
            <w:tcW w:w="1830" w:type="pct"/>
            <w:gridSpan w:val="5"/>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sz w:val="18"/>
                <w:szCs w:val="18"/>
              </w:rPr>
            </w:pPr>
            <w:r>
              <w:rPr>
                <w:sz w:val="18"/>
                <w:szCs w:val="18"/>
              </w:rPr>
              <w:t>　-</w:t>
            </w:r>
          </w:p>
        </w:tc>
        <w:tc>
          <w:tcPr>
            <w:tcW w:w="981" w:type="pct"/>
            <w:gridSpan w:val="3"/>
            <w:tcBorders>
              <w:top w:val="single" w:color="auto" w:sz="4" w:space="0"/>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预计投产时间</w:t>
            </w:r>
          </w:p>
        </w:tc>
        <w:tc>
          <w:tcPr>
            <w:tcW w:w="1580" w:type="pct"/>
            <w:gridSpan w:val="6"/>
            <w:tcBorders>
              <w:top w:val="single" w:color="auto" w:sz="4" w:space="0"/>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sz w:val="18"/>
                <w:szCs w:val="18"/>
              </w:rPr>
            </w:pPr>
            <w:r>
              <w:rPr>
                <w:sz w:val="18"/>
                <w:szCs w:val="18"/>
              </w:rPr>
              <w:t>　</w:t>
            </w:r>
          </w:p>
        </w:tc>
      </w:tr>
      <w:tr>
        <w:tblPrEx>
          <w:tblCellMar>
            <w:top w:w="0" w:type="dxa"/>
            <w:left w:w="108" w:type="dxa"/>
            <w:bottom w:w="0" w:type="dxa"/>
            <w:right w:w="108" w:type="dxa"/>
          </w:tblCellMar>
        </w:tblPrEx>
        <w:trPr>
          <w:trHeight w:val="301" w:hRule="atLeast"/>
        </w:trPr>
        <w:tc>
          <w:tcPr>
            <w:tcW w:w="149" w:type="pct"/>
            <w:vMerge w:val="continue"/>
            <w:tcBorders>
              <w:top w:val="nil"/>
              <w:left w:val="single" w:color="auto" w:sz="4" w:space="0"/>
              <w:bottom w:val="single" w:color="auto" w:sz="4" w:space="0"/>
              <w:right w:val="single" w:color="auto" w:sz="4" w:space="0"/>
            </w:tcBorders>
            <w:vAlign w:val="center"/>
          </w:tcPr>
          <w:p>
            <w:pPr>
              <w:widowControl/>
              <w:adjustRightInd/>
              <w:spacing w:line="220" w:lineRule="exact"/>
              <w:jc w:val="left"/>
              <w:textAlignment w:val="auto"/>
              <w:rPr>
                <w:b/>
                <w:bCs/>
                <w:sz w:val="18"/>
                <w:szCs w:val="18"/>
              </w:rPr>
            </w:pPr>
          </w:p>
        </w:tc>
        <w:tc>
          <w:tcPr>
            <w:tcW w:w="460" w:type="pct"/>
            <w:gridSpan w:val="3"/>
            <w:tcBorders>
              <w:top w:val="single" w:color="auto" w:sz="4" w:space="0"/>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环境影响评价行业类别</w:t>
            </w:r>
          </w:p>
        </w:tc>
        <w:tc>
          <w:tcPr>
            <w:tcW w:w="1830" w:type="pct"/>
            <w:gridSpan w:val="5"/>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sz w:val="18"/>
                <w:szCs w:val="18"/>
              </w:rPr>
            </w:pPr>
            <w:r>
              <w:rPr>
                <w:sz w:val="18"/>
                <w:szCs w:val="18"/>
              </w:rPr>
              <w:t>一般项目</w:t>
            </w:r>
          </w:p>
        </w:tc>
        <w:tc>
          <w:tcPr>
            <w:tcW w:w="981" w:type="pct"/>
            <w:gridSpan w:val="3"/>
            <w:tcBorders>
              <w:top w:val="single" w:color="auto" w:sz="4" w:space="0"/>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国民经济行业类型</w:t>
            </w:r>
            <w:r>
              <w:rPr>
                <w:b/>
                <w:bCs/>
                <w:sz w:val="18"/>
                <w:szCs w:val="18"/>
                <w:vertAlign w:val="superscript"/>
              </w:rPr>
              <w:t>2</w:t>
            </w:r>
          </w:p>
        </w:tc>
        <w:tc>
          <w:tcPr>
            <w:tcW w:w="1580" w:type="pct"/>
            <w:gridSpan w:val="6"/>
            <w:tcBorders>
              <w:top w:val="single" w:color="auto" w:sz="4" w:space="0"/>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sz w:val="18"/>
                <w:szCs w:val="18"/>
              </w:rPr>
            </w:pPr>
            <w:r>
              <w:rPr>
                <w:rFonts w:hint="eastAsia"/>
                <w:sz w:val="18"/>
                <w:szCs w:val="18"/>
              </w:rPr>
              <w:t>N7</w:t>
            </w:r>
            <w:r>
              <w:rPr>
                <w:sz w:val="18"/>
                <w:szCs w:val="18"/>
              </w:rPr>
              <w:t>8公共设施管理业</w:t>
            </w:r>
          </w:p>
        </w:tc>
      </w:tr>
      <w:tr>
        <w:tblPrEx>
          <w:tblCellMar>
            <w:top w:w="0" w:type="dxa"/>
            <w:left w:w="108" w:type="dxa"/>
            <w:bottom w:w="0" w:type="dxa"/>
            <w:right w:w="108" w:type="dxa"/>
          </w:tblCellMar>
        </w:tblPrEx>
        <w:trPr>
          <w:trHeight w:val="282" w:hRule="atLeast"/>
        </w:trPr>
        <w:tc>
          <w:tcPr>
            <w:tcW w:w="149" w:type="pct"/>
            <w:vMerge w:val="continue"/>
            <w:tcBorders>
              <w:top w:val="nil"/>
              <w:left w:val="single" w:color="auto" w:sz="4" w:space="0"/>
              <w:bottom w:val="single" w:color="auto" w:sz="4" w:space="0"/>
              <w:right w:val="single" w:color="auto" w:sz="4" w:space="0"/>
            </w:tcBorders>
            <w:vAlign w:val="center"/>
          </w:tcPr>
          <w:p>
            <w:pPr>
              <w:widowControl/>
              <w:adjustRightInd/>
              <w:spacing w:line="220" w:lineRule="exact"/>
              <w:jc w:val="left"/>
              <w:textAlignment w:val="auto"/>
              <w:rPr>
                <w:b/>
                <w:bCs/>
                <w:sz w:val="18"/>
                <w:szCs w:val="18"/>
              </w:rPr>
            </w:pPr>
          </w:p>
        </w:tc>
        <w:tc>
          <w:tcPr>
            <w:tcW w:w="460" w:type="pct"/>
            <w:gridSpan w:val="3"/>
            <w:tcBorders>
              <w:top w:val="single" w:color="auto" w:sz="4" w:space="0"/>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建设性质</w:t>
            </w:r>
          </w:p>
        </w:tc>
        <w:tc>
          <w:tcPr>
            <w:tcW w:w="1830" w:type="pct"/>
            <w:gridSpan w:val="5"/>
            <w:tcBorders>
              <w:top w:val="single" w:color="auto" w:sz="4" w:space="0"/>
              <w:left w:val="nil"/>
              <w:bottom w:val="single" w:color="auto" w:sz="4" w:space="0"/>
              <w:right w:val="single" w:color="000000" w:sz="4" w:space="0"/>
            </w:tcBorders>
            <w:shd w:val="clear" w:color="auto" w:fill="auto"/>
            <w:noWrap/>
            <w:vAlign w:val="center"/>
          </w:tcPr>
          <w:p>
            <w:pPr>
              <w:widowControl/>
              <w:adjustRightInd/>
              <w:spacing w:line="220" w:lineRule="exact"/>
              <w:jc w:val="center"/>
              <w:textAlignment w:val="auto"/>
              <w:rPr>
                <w:sz w:val="18"/>
                <w:szCs w:val="18"/>
              </w:rPr>
            </w:pPr>
            <w:r>
              <w:rPr>
                <w:sz w:val="18"/>
                <w:szCs w:val="18"/>
              </w:rPr>
              <w:t>　-</w:t>
            </w:r>
          </w:p>
        </w:tc>
        <w:tc>
          <w:tcPr>
            <w:tcW w:w="981" w:type="pct"/>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项目申请类别</w:t>
            </w:r>
          </w:p>
        </w:tc>
        <w:tc>
          <w:tcPr>
            <w:tcW w:w="1580" w:type="pct"/>
            <w:gridSpan w:val="6"/>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20" w:lineRule="exact"/>
              <w:jc w:val="center"/>
              <w:textAlignment w:val="auto"/>
              <w:rPr>
                <w:sz w:val="18"/>
                <w:szCs w:val="18"/>
              </w:rPr>
            </w:pPr>
            <w:r>
              <w:rPr>
                <w:sz w:val="18"/>
                <w:szCs w:val="18"/>
              </w:rPr>
              <w:t>　-</w:t>
            </w:r>
          </w:p>
        </w:tc>
      </w:tr>
      <w:tr>
        <w:tblPrEx>
          <w:tblCellMar>
            <w:top w:w="0" w:type="dxa"/>
            <w:left w:w="108" w:type="dxa"/>
            <w:bottom w:w="0" w:type="dxa"/>
            <w:right w:w="108" w:type="dxa"/>
          </w:tblCellMar>
        </w:tblPrEx>
        <w:trPr>
          <w:trHeight w:val="824" w:hRule="atLeast"/>
        </w:trPr>
        <w:tc>
          <w:tcPr>
            <w:tcW w:w="149" w:type="pct"/>
            <w:vMerge w:val="continue"/>
            <w:tcBorders>
              <w:top w:val="nil"/>
              <w:left w:val="single" w:color="auto" w:sz="4" w:space="0"/>
              <w:bottom w:val="single" w:color="auto" w:sz="4" w:space="0"/>
              <w:right w:val="single" w:color="auto" w:sz="4" w:space="0"/>
            </w:tcBorders>
            <w:vAlign w:val="center"/>
          </w:tcPr>
          <w:p>
            <w:pPr>
              <w:widowControl/>
              <w:adjustRightInd/>
              <w:spacing w:line="220" w:lineRule="exact"/>
              <w:jc w:val="left"/>
              <w:textAlignment w:val="auto"/>
              <w:rPr>
                <w:b/>
                <w:bCs/>
                <w:sz w:val="18"/>
                <w:szCs w:val="18"/>
              </w:rPr>
            </w:pPr>
          </w:p>
        </w:tc>
        <w:tc>
          <w:tcPr>
            <w:tcW w:w="460" w:type="pct"/>
            <w:gridSpan w:val="3"/>
            <w:tcBorders>
              <w:top w:val="single" w:color="auto" w:sz="4" w:space="0"/>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现有工程排污许可证编号</w:t>
            </w:r>
            <w:r>
              <w:rPr>
                <w:b/>
                <w:bCs/>
                <w:sz w:val="18"/>
                <w:szCs w:val="18"/>
              </w:rPr>
              <w:br w:type="textWrapping"/>
            </w:r>
            <w:r>
              <w:rPr>
                <w:b/>
                <w:bCs/>
                <w:sz w:val="18"/>
                <w:szCs w:val="18"/>
              </w:rPr>
              <w:t>（改、扩建项目）</w:t>
            </w:r>
          </w:p>
        </w:tc>
        <w:tc>
          <w:tcPr>
            <w:tcW w:w="1830" w:type="pct"/>
            <w:gridSpan w:val="5"/>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20" w:lineRule="exact"/>
              <w:jc w:val="left"/>
              <w:textAlignment w:val="auto"/>
              <w:rPr>
                <w:sz w:val="18"/>
                <w:szCs w:val="18"/>
              </w:rPr>
            </w:pPr>
          </w:p>
        </w:tc>
        <w:tc>
          <w:tcPr>
            <w:tcW w:w="981" w:type="pct"/>
            <w:gridSpan w:val="3"/>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20" w:lineRule="exact"/>
              <w:jc w:val="left"/>
              <w:textAlignment w:val="auto"/>
              <w:rPr>
                <w:b/>
                <w:bCs/>
                <w:sz w:val="18"/>
                <w:szCs w:val="18"/>
              </w:rPr>
            </w:pPr>
          </w:p>
        </w:tc>
        <w:tc>
          <w:tcPr>
            <w:tcW w:w="1580" w:type="pct"/>
            <w:gridSpan w:val="6"/>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20" w:lineRule="exact"/>
              <w:jc w:val="left"/>
              <w:textAlignment w:val="auto"/>
              <w:rPr>
                <w:sz w:val="18"/>
                <w:szCs w:val="18"/>
              </w:rPr>
            </w:pPr>
          </w:p>
        </w:tc>
      </w:tr>
      <w:tr>
        <w:tblPrEx>
          <w:tblCellMar>
            <w:top w:w="0" w:type="dxa"/>
            <w:left w:w="108" w:type="dxa"/>
            <w:bottom w:w="0" w:type="dxa"/>
            <w:right w:w="108" w:type="dxa"/>
          </w:tblCellMar>
        </w:tblPrEx>
        <w:trPr>
          <w:trHeight w:val="194" w:hRule="atLeast"/>
        </w:trPr>
        <w:tc>
          <w:tcPr>
            <w:tcW w:w="149" w:type="pct"/>
            <w:vMerge w:val="continue"/>
            <w:tcBorders>
              <w:top w:val="nil"/>
              <w:left w:val="single" w:color="auto" w:sz="4" w:space="0"/>
              <w:bottom w:val="single" w:color="auto" w:sz="4" w:space="0"/>
              <w:right w:val="single" w:color="auto" w:sz="4" w:space="0"/>
            </w:tcBorders>
            <w:vAlign w:val="center"/>
          </w:tcPr>
          <w:p>
            <w:pPr>
              <w:widowControl/>
              <w:adjustRightInd/>
              <w:spacing w:line="220" w:lineRule="exact"/>
              <w:jc w:val="left"/>
              <w:textAlignment w:val="auto"/>
              <w:rPr>
                <w:b/>
                <w:bCs/>
                <w:sz w:val="18"/>
                <w:szCs w:val="18"/>
              </w:rPr>
            </w:pPr>
          </w:p>
        </w:tc>
        <w:tc>
          <w:tcPr>
            <w:tcW w:w="460" w:type="pct"/>
            <w:gridSpan w:val="3"/>
            <w:tcBorders>
              <w:top w:val="single" w:color="auto" w:sz="4" w:space="0"/>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规划环评开展情况</w:t>
            </w:r>
          </w:p>
        </w:tc>
        <w:tc>
          <w:tcPr>
            <w:tcW w:w="1830" w:type="pct"/>
            <w:gridSpan w:val="5"/>
            <w:tcBorders>
              <w:top w:val="single" w:color="auto" w:sz="4" w:space="0"/>
              <w:left w:val="nil"/>
              <w:bottom w:val="single" w:color="auto" w:sz="4" w:space="0"/>
              <w:right w:val="single" w:color="000000" w:sz="4" w:space="0"/>
            </w:tcBorders>
            <w:shd w:val="clear" w:color="auto" w:fill="auto"/>
            <w:noWrap/>
            <w:vAlign w:val="center"/>
          </w:tcPr>
          <w:p>
            <w:pPr>
              <w:widowControl/>
              <w:adjustRightInd/>
              <w:spacing w:line="220" w:lineRule="exact"/>
              <w:jc w:val="center"/>
              <w:textAlignment w:val="auto"/>
              <w:rPr>
                <w:sz w:val="18"/>
                <w:szCs w:val="18"/>
              </w:rPr>
            </w:pPr>
            <w:r>
              <w:rPr>
                <w:sz w:val="18"/>
                <w:szCs w:val="18"/>
              </w:rPr>
              <w:t>　-</w:t>
            </w:r>
          </w:p>
        </w:tc>
        <w:tc>
          <w:tcPr>
            <w:tcW w:w="981" w:type="pct"/>
            <w:gridSpan w:val="3"/>
            <w:tcBorders>
              <w:top w:val="single" w:color="auto" w:sz="4" w:space="0"/>
              <w:left w:val="nil"/>
              <w:bottom w:val="single" w:color="auto" w:sz="4" w:space="0"/>
              <w:right w:val="single" w:color="auto" w:sz="4" w:space="0"/>
            </w:tcBorders>
            <w:shd w:val="clear" w:color="auto" w:fill="auto"/>
          </w:tcPr>
          <w:p>
            <w:pPr>
              <w:widowControl/>
              <w:adjustRightInd/>
              <w:spacing w:line="220" w:lineRule="exact"/>
              <w:jc w:val="center"/>
              <w:textAlignment w:val="auto"/>
              <w:rPr>
                <w:b/>
                <w:bCs/>
                <w:sz w:val="18"/>
                <w:szCs w:val="18"/>
              </w:rPr>
            </w:pPr>
            <w:r>
              <w:rPr>
                <w:b/>
                <w:bCs/>
                <w:sz w:val="18"/>
                <w:szCs w:val="18"/>
              </w:rPr>
              <w:t>规划环评文件名</w:t>
            </w:r>
          </w:p>
        </w:tc>
        <w:tc>
          <w:tcPr>
            <w:tcW w:w="1580" w:type="pct"/>
            <w:gridSpan w:val="6"/>
            <w:tcBorders>
              <w:top w:val="single" w:color="auto" w:sz="4" w:space="0"/>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sz w:val="18"/>
                <w:szCs w:val="18"/>
              </w:rPr>
            </w:pPr>
            <w:r>
              <w:rPr>
                <w:sz w:val="18"/>
                <w:szCs w:val="18"/>
              </w:rPr>
              <w:t>　-</w:t>
            </w:r>
          </w:p>
        </w:tc>
      </w:tr>
      <w:tr>
        <w:tblPrEx>
          <w:tblCellMar>
            <w:top w:w="0" w:type="dxa"/>
            <w:left w:w="108" w:type="dxa"/>
            <w:bottom w:w="0" w:type="dxa"/>
            <w:right w:w="108" w:type="dxa"/>
          </w:tblCellMar>
        </w:tblPrEx>
        <w:trPr>
          <w:trHeight w:val="184" w:hRule="atLeast"/>
        </w:trPr>
        <w:tc>
          <w:tcPr>
            <w:tcW w:w="149" w:type="pct"/>
            <w:vMerge w:val="continue"/>
            <w:tcBorders>
              <w:top w:val="nil"/>
              <w:left w:val="single" w:color="auto" w:sz="4" w:space="0"/>
              <w:bottom w:val="single" w:color="auto" w:sz="4" w:space="0"/>
              <w:right w:val="single" w:color="auto" w:sz="4" w:space="0"/>
            </w:tcBorders>
            <w:vAlign w:val="center"/>
          </w:tcPr>
          <w:p>
            <w:pPr>
              <w:widowControl/>
              <w:adjustRightInd/>
              <w:spacing w:line="220" w:lineRule="exact"/>
              <w:jc w:val="left"/>
              <w:textAlignment w:val="auto"/>
              <w:rPr>
                <w:b/>
                <w:bCs/>
                <w:sz w:val="18"/>
                <w:szCs w:val="18"/>
              </w:rPr>
            </w:pPr>
          </w:p>
        </w:tc>
        <w:tc>
          <w:tcPr>
            <w:tcW w:w="460" w:type="pct"/>
            <w:gridSpan w:val="3"/>
            <w:tcBorders>
              <w:top w:val="single" w:color="auto" w:sz="4" w:space="0"/>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规划环评审查机关</w:t>
            </w:r>
          </w:p>
        </w:tc>
        <w:tc>
          <w:tcPr>
            <w:tcW w:w="1830" w:type="pct"/>
            <w:gridSpan w:val="5"/>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sz w:val="18"/>
                <w:szCs w:val="18"/>
              </w:rPr>
            </w:pPr>
            <w:r>
              <w:rPr>
                <w:sz w:val="18"/>
                <w:szCs w:val="18"/>
              </w:rPr>
              <w:t>　-</w:t>
            </w:r>
          </w:p>
        </w:tc>
        <w:tc>
          <w:tcPr>
            <w:tcW w:w="981" w:type="pct"/>
            <w:gridSpan w:val="3"/>
            <w:tcBorders>
              <w:top w:val="single" w:color="auto" w:sz="4" w:space="0"/>
              <w:left w:val="nil"/>
              <w:bottom w:val="single" w:color="auto" w:sz="4" w:space="0"/>
              <w:right w:val="single" w:color="auto" w:sz="4" w:space="0"/>
            </w:tcBorders>
            <w:shd w:val="clear" w:color="auto" w:fill="auto"/>
          </w:tcPr>
          <w:p>
            <w:pPr>
              <w:widowControl/>
              <w:adjustRightInd/>
              <w:spacing w:line="220" w:lineRule="exact"/>
              <w:jc w:val="center"/>
              <w:textAlignment w:val="auto"/>
              <w:rPr>
                <w:b/>
                <w:bCs/>
                <w:sz w:val="18"/>
                <w:szCs w:val="18"/>
              </w:rPr>
            </w:pPr>
            <w:r>
              <w:rPr>
                <w:b/>
                <w:bCs/>
                <w:sz w:val="18"/>
                <w:szCs w:val="18"/>
              </w:rPr>
              <w:t>规划环评审查意见文号</w:t>
            </w:r>
          </w:p>
        </w:tc>
        <w:tc>
          <w:tcPr>
            <w:tcW w:w="1580" w:type="pct"/>
            <w:gridSpan w:val="6"/>
            <w:tcBorders>
              <w:top w:val="single" w:color="auto" w:sz="4" w:space="0"/>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sz w:val="18"/>
                <w:szCs w:val="18"/>
              </w:rPr>
            </w:pPr>
            <w:r>
              <w:rPr>
                <w:sz w:val="18"/>
                <w:szCs w:val="18"/>
              </w:rPr>
              <w:t>　-</w:t>
            </w:r>
          </w:p>
        </w:tc>
      </w:tr>
      <w:tr>
        <w:tblPrEx>
          <w:tblCellMar>
            <w:top w:w="0" w:type="dxa"/>
            <w:left w:w="108" w:type="dxa"/>
            <w:bottom w:w="0" w:type="dxa"/>
            <w:right w:w="108" w:type="dxa"/>
          </w:tblCellMar>
        </w:tblPrEx>
        <w:trPr>
          <w:trHeight w:val="480" w:hRule="atLeast"/>
        </w:trPr>
        <w:tc>
          <w:tcPr>
            <w:tcW w:w="149" w:type="pct"/>
            <w:vMerge w:val="continue"/>
            <w:tcBorders>
              <w:top w:val="nil"/>
              <w:left w:val="single" w:color="auto" w:sz="4" w:space="0"/>
              <w:bottom w:val="single" w:color="auto" w:sz="4" w:space="0"/>
              <w:right w:val="single" w:color="auto" w:sz="4" w:space="0"/>
            </w:tcBorders>
            <w:vAlign w:val="center"/>
          </w:tcPr>
          <w:p>
            <w:pPr>
              <w:widowControl/>
              <w:adjustRightInd/>
              <w:spacing w:line="220" w:lineRule="exact"/>
              <w:jc w:val="left"/>
              <w:textAlignment w:val="auto"/>
              <w:rPr>
                <w:b/>
                <w:bCs/>
                <w:sz w:val="18"/>
                <w:szCs w:val="18"/>
              </w:rPr>
            </w:pPr>
          </w:p>
        </w:tc>
        <w:tc>
          <w:tcPr>
            <w:tcW w:w="460" w:type="pct"/>
            <w:gridSpan w:val="3"/>
            <w:tcBorders>
              <w:top w:val="single" w:color="auto" w:sz="4" w:space="0"/>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建设地点中心坐标</w:t>
            </w:r>
            <w:r>
              <w:rPr>
                <w:b/>
                <w:bCs/>
                <w:sz w:val="18"/>
                <w:szCs w:val="18"/>
                <w:vertAlign w:val="superscript"/>
              </w:rPr>
              <w:t>3</w:t>
            </w:r>
            <w:r>
              <w:rPr>
                <w:b/>
                <w:bCs/>
                <w:sz w:val="18"/>
                <w:szCs w:val="18"/>
              </w:rPr>
              <w:t>（非线性工程）</w:t>
            </w:r>
          </w:p>
        </w:tc>
        <w:tc>
          <w:tcPr>
            <w:tcW w:w="373" w:type="pct"/>
            <w:tcBorders>
              <w:top w:val="nil"/>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经度</w:t>
            </w:r>
          </w:p>
        </w:tc>
        <w:tc>
          <w:tcPr>
            <w:tcW w:w="610" w:type="pct"/>
            <w:tcBorders>
              <w:top w:val="nil"/>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kern w:val="2"/>
                <w:sz w:val="18"/>
                <w:szCs w:val="18"/>
              </w:rPr>
            </w:pPr>
            <w:r>
              <w:rPr>
                <w:rFonts w:hint="eastAsia"/>
                <w:bCs/>
                <w:sz w:val="18"/>
                <w:szCs w:val="18"/>
              </w:rPr>
              <w:t>北纬40°32′24″</w:t>
            </w:r>
          </w:p>
          <w:p>
            <w:pPr>
              <w:widowControl/>
              <w:adjustRightInd/>
              <w:spacing w:line="220" w:lineRule="exact"/>
              <w:jc w:val="center"/>
              <w:textAlignment w:val="auto"/>
              <w:rPr>
                <w:bCs/>
                <w:sz w:val="18"/>
                <w:szCs w:val="18"/>
              </w:rPr>
            </w:pPr>
            <w:r>
              <w:rPr>
                <w:rFonts w:hint="eastAsia"/>
                <w:kern w:val="2"/>
                <w:sz w:val="18"/>
                <w:szCs w:val="18"/>
              </w:rPr>
              <w:t>北纬40°36′00″</w:t>
            </w:r>
          </w:p>
        </w:tc>
        <w:tc>
          <w:tcPr>
            <w:tcW w:w="338" w:type="pct"/>
            <w:tcBorders>
              <w:top w:val="nil"/>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纬度</w:t>
            </w:r>
          </w:p>
        </w:tc>
        <w:tc>
          <w:tcPr>
            <w:tcW w:w="509" w:type="pct"/>
            <w:gridSpan w:val="2"/>
            <w:tcBorders>
              <w:top w:val="nil"/>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kern w:val="2"/>
                <w:sz w:val="18"/>
                <w:szCs w:val="18"/>
              </w:rPr>
            </w:pPr>
            <w:r>
              <w:rPr>
                <w:rFonts w:hint="eastAsia"/>
                <w:kern w:val="2"/>
                <w:sz w:val="18"/>
                <w:szCs w:val="18"/>
              </w:rPr>
              <w:t>东经：117°41′24″</w:t>
            </w:r>
          </w:p>
          <w:p>
            <w:pPr>
              <w:widowControl/>
              <w:adjustRightInd/>
              <w:spacing w:line="220" w:lineRule="exact"/>
              <w:jc w:val="center"/>
              <w:textAlignment w:val="auto"/>
              <w:rPr>
                <w:b/>
                <w:bCs/>
                <w:sz w:val="18"/>
                <w:szCs w:val="18"/>
              </w:rPr>
            </w:pPr>
            <w:r>
              <w:rPr>
                <w:rFonts w:hint="eastAsia"/>
                <w:kern w:val="2"/>
                <w:sz w:val="18"/>
                <w:szCs w:val="18"/>
              </w:rPr>
              <w:t>东经：117°46′12″</w:t>
            </w:r>
          </w:p>
        </w:tc>
        <w:tc>
          <w:tcPr>
            <w:tcW w:w="981" w:type="pct"/>
            <w:gridSpan w:val="3"/>
            <w:tcBorders>
              <w:top w:val="single" w:color="auto" w:sz="4" w:space="0"/>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环境影响评价文件类别</w:t>
            </w:r>
          </w:p>
        </w:tc>
        <w:tc>
          <w:tcPr>
            <w:tcW w:w="1580" w:type="pct"/>
            <w:gridSpan w:val="6"/>
            <w:tcBorders>
              <w:top w:val="single" w:color="auto" w:sz="4" w:space="0"/>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sz w:val="18"/>
                <w:szCs w:val="18"/>
              </w:rPr>
              <w:t>　</w:t>
            </w:r>
            <w:r>
              <w:rPr>
                <w:rFonts w:hint="eastAsia"/>
                <w:sz w:val="18"/>
                <w:szCs w:val="18"/>
              </w:rPr>
              <w:t>环境</w:t>
            </w:r>
            <w:r>
              <w:rPr>
                <w:sz w:val="18"/>
                <w:szCs w:val="18"/>
              </w:rPr>
              <w:t>影响报告表</w:t>
            </w:r>
          </w:p>
        </w:tc>
      </w:tr>
      <w:tr>
        <w:tblPrEx>
          <w:tblCellMar>
            <w:top w:w="0" w:type="dxa"/>
            <w:left w:w="108" w:type="dxa"/>
            <w:bottom w:w="0" w:type="dxa"/>
            <w:right w:w="108" w:type="dxa"/>
          </w:tblCellMar>
        </w:tblPrEx>
        <w:trPr>
          <w:trHeight w:val="420" w:hRule="atLeast"/>
        </w:trPr>
        <w:tc>
          <w:tcPr>
            <w:tcW w:w="149" w:type="pct"/>
            <w:vMerge w:val="continue"/>
            <w:tcBorders>
              <w:top w:val="nil"/>
              <w:left w:val="single" w:color="auto" w:sz="4" w:space="0"/>
              <w:bottom w:val="single" w:color="auto" w:sz="4" w:space="0"/>
              <w:right w:val="single" w:color="auto" w:sz="4" w:space="0"/>
            </w:tcBorders>
            <w:vAlign w:val="center"/>
          </w:tcPr>
          <w:p>
            <w:pPr>
              <w:widowControl/>
              <w:adjustRightInd/>
              <w:spacing w:line="220" w:lineRule="exact"/>
              <w:jc w:val="left"/>
              <w:textAlignment w:val="auto"/>
              <w:rPr>
                <w:b/>
                <w:bCs/>
                <w:sz w:val="18"/>
                <w:szCs w:val="18"/>
              </w:rPr>
            </w:pPr>
          </w:p>
        </w:tc>
        <w:tc>
          <w:tcPr>
            <w:tcW w:w="460" w:type="pct"/>
            <w:gridSpan w:val="3"/>
            <w:tcBorders>
              <w:top w:val="single" w:color="auto" w:sz="4" w:space="0"/>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建设地点坐标（线性工程）</w:t>
            </w:r>
          </w:p>
        </w:tc>
        <w:tc>
          <w:tcPr>
            <w:tcW w:w="373" w:type="pct"/>
            <w:tcBorders>
              <w:top w:val="nil"/>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起点经度</w:t>
            </w:r>
          </w:p>
        </w:tc>
        <w:tc>
          <w:tcPr>
            <w:tcW w:w="610" w:type="pct"/>
            <w:tcBorders>
              <w:top w:val="nil"/>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sz w:val="18"/>
                <w:szCs w:val="18"/>
              </w:rPr>
            </w:pPr>
            <w:r>
              <w:rPr>
                <w:sz w:val="18"/>
                <w:szCs w:val="18"/>
              </w:rPr>
              <w:t>　</w:t>
            </w:r>
          </w:p>
        </w:tc>
        <w:tc>
          <w:tcPr>
            <w:tcW w:w="338" w:type="pct"/>
            <w:tcBorders>
              <w:top w:val="nil"/>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起点纬度</w:t>
            </w:r>
          </w:p>
        </w:tc>
        <w:tc>
          <w:tcPr>
            <w:tcW w:w="509" w:type="pct"/>
            <w:gridSpan w:val="2"/>
            <w:tcBorders>
              <w:top w:val="nil"/>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sz w:val="18"/>
                <w:szCs w:val="18"/>
              </w:rPr>
            </w:pPr>
          </w:p>
        </w:tc>
        <w:tc>
          <w:tcPr>
            <w:tcW w:w="508" w:type="pct"/>
            <w:gridSpan w:val="2"/>
            <w:tcBorders>
              <w:top w:val="nil"/>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终点经度</w:t>
            </w:r>
          </w:p>
        </w:tc>
        <w:tc>
          <w:tcPr>
            <w:tcW w:w="473" w:type="pct"/>
            <w:tcBorders>
              <w:top w:val="nil"/>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p>
        </w:tc>
        <w:tc>
          <w:tcPr>
            <w:tcW w:w="172" w:type="pct"/>
            <w:tcBorders>
              <w:top w:val="nil"/>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终点纬度</w:t>
            </w:r>
          </w:p>
        </w:tc>
        <w:tc>
          <w:tcPr>
            <w:tcW w:w="491" w:type="pct"/>
            <w:gridSpan w:val="2"/>
            <w:tcBorders>
              <w:top w:val="nil"/>
              <w:left w:val="nil"/>
              <w:bottom w:val="nil"/>
              <w:right w:val="nil"/>
            </w:tcBorders>
            <w:shd w:val="clear" w:color="auto" w:fill="auto"/>
            <w:noWrap/>
            <w:vAlign w:val="center"/>
          </w:tcPr>
          <w:p>
            <w:pPr>
              <w:widowControl/>
              <w:adjustRightInd/>
              <w:spacing w:line="220" w:lineRule="exact"/>
              <w:jc w:val="center"/>
              <w:textAlignment w:val="auto"/>
              <w:rPr>
                <w:sz w:val="18"/>
                <w:szCs w:val="18"/>
              </w:rPr>
            </w:pPr>
          </w:p>
        </w:tc>
        <w:tc>
          <w:tcPr>
            <w:tcW w:w="346" w:type="pct"/>
            <w:gridSpan w:val="2"/>
            <w:tcBorders>
              <w:top w:val="nil"/>
              <w:left w:val="single" w:color="auto" w:sz="4" w:space="0"/>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工程长度</w:t>
            </w:r>
          </w:p>
        </w:tc>
        <w:tc>
          <w:tcPr>
            <w:tcW w:w="571" w:type="pct"/>
            <w:tcBorders>
              <w:top w:val="single" w:color="auto" w:sz="4" w:space="0"/>
              <w:left w:val="nil"/>
              <w:bottom w:val="single" w:color="auto" w:sz="4" w:space="0"/>
              <w:right w:val="single" w:color="000000" w:sz="4" w:space="0"/>
            </w:tcBorders>
            <w:shd w:val="clear" w:color="auto" w:fill="auto"/>
            <w:noWrap/>
            <w:vAlign w:val="center"/>
          </w:tcPr>
          <w:p>
            <w:pPr>
              <w:widowControl/>
              <w:adjustRightInd/>
              <w:spacing w:line="220" w:lineRule="exact"/>
              <w:jc w:val="center"/>
              <w:textAlignment w:val="auto"/>
              <w:rPr>
                <w:sz w:val="18"/>
                <w:szCs w:val="18"/>
              </w:rPr>
            </w:pPr>
            <w:r>
              <w:rPr>
                <w:sz w:val="18"/>
                <w:szCs w:val="18"/>
              </w:rPr>
              <w:t>　</w:t>
            </w:r>
          </w:p>
        </w:tc>
      </w:tr>
      <w:tr>
        <w:tblPrEx>
          <w:tblCellMar>
            <w:top w:w="0" w:type="dxa"/>
            <w:left w:w="108" w:type="dxa"/>
            <w:bottom w:w="0" w:type="dxa"/>
            <w:right w:w="108" w:type="dxa"/>
          </w:tblCellMar>
        </w:tblPrEx>
        <w:trPr>
          <w:trHeight w:val="215" w:hRule="atLeast"/>
        </w:trPr>
        <w:tc>
          <w:tcPr>
            <w:tcW w:w="149" w:type="pct"/>
            <w:vMerge w:val="continue"/>
            <w:tcBorders>
              <w:top w:val="nil"/>
              <w:left w:val="single" w:color="auto" w:sz="4" w:space="0"/>
              <w:bottom w:val="single" w:color="auto" w:sz="4" w:space="0"/>
              <w:right w:val="single" w:color="auto" w:sz="4" w:space="0"/>
            </w:tcBorders>
            <w:vAlign w:val="center"/>
          </w:tcPr>
          <w:p>
            <w:pPr>
              <w:widowControl/>
              <w:adjustRightInd/>
              <w:spacing w:line="220" w:lineRule="exact"/>
              <w:jc w:val="left"/>
              <w:textAlignment w:val="auto"/>
              <w:rPr>
                <w:b/>
                <w:bCs/>
                <w:sz w:val="18"/>
                <w:szCs w:val="18"/>
              </w:rPr>
            </w:pPr>
          </w:p>
        </w:tc>
        <w:tc>
          <w:tcPr>
            <w:tcW w:w="460" w:type="pct"/>
            <w:gridSpan w:val="3"/>
            <w:tcBorders>
              <w:top w:val="single" w:color="auto" w:sz="4" w:space="0"/>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总投资（万元）</w:t>
            </w:r>
          </w:p>
        </w:tc>
        <w:tc>
          <w:tcPr>
            <w:tcW w:w="1830" w:type="pct"/>
            <w:gridSpan w:val="5"/>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sz w:val="18"/>
                <w:szCs w:val="18"/>
              </w:rPr>
            </w:pPr>
            <w:r>
              <w:rPr>
                <w:sz w:val="18"/>
                <w:szCs w:val="18"/>
              </w:rPr>
              <w:t>　</w:t>
            </w:r>
            <w:r>
              <w:rPr>
                <w:rFonts w:hint="eastAsia"/>
                <w:kern w:val="2"/>
                <w:sz w:val="18"/>
                <w:szCs w:val="18"/>
              </w:rPr>
              <w:t>2571.9</w:t>
            </w:r>
          </w:p>
        </w:tc>
        <w:tc>
          <w:tcPr>
            <w:tcW w:w="981" w:type="pct"/>
            <w:gridSpan w:val="3"/>
            <w:tcBorders>
              <w:top w:val="single" w:color="auto" w:sz="4" w:space="0"/>
              <w:left w:val="nil"/>
              <w:bottom w:val="nil"/>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环保投资（万元）</w:t>
            </w:r>
          </w:p>
        </w:tc>
        <w:tc>
          <w:tcPr>
            <w:tcW w:w="663" w:type="pct"/>
            <w:gridSpan w:val="3"/>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sz w:val="18"/>
                <w:szCs w:val="18"/>
              </w:rPr>
            </w:pPr>
            <w:r>
              <w:rPr>
                <w:sz w:val="18"/>
                <w:szCs w:val="18"/>
              </w:rPr>
              <w:t>108</w:t>
            </w:r>
          </w:p>
        </w:tc>
        <w:tc>
          <w:tcPr>
            <w:tcW w:w="346" w:type="pct"/>
            <w:gridSpan w:val="2"/>
            <w:tcBorders>
              <w:top w:val="nil"/>
              <w:left w:val="nil"/>
              <w:bottom w:val="single" w:color="auto" w:sz="4" w:space="0"/>
              <w:right w:val="single" w:color="auto" w:sz="4" w:space="0"/>
            </w:tcBorders>
            <w:shd w:val="clear" w:color="auto" w:fill="auto"/>
            <w:vAlign w:val="center"/>
          </w:tcPr>
          <w:p>
            <w:pPr>
              <w:widowControl/>
              <w:adjustRightInd/>
              <w:spacing w:line="220" w:lineRule="exact"/>
              <w:textAlignment w:val="auto"/>
              <w:rPr>
                <w:b/>
                <w:bCs/>
                <w:sz w:val="18"/>
                <w:szCs w:val="18"/>
              </w:rPr>
            </w:pPr>
            <w:r>
              <w:rPr>
                <w:b/>
                <w:bCs/>
                <w:sz w:val="18"/>
                <w:szCs w:val="18"/>
              </w:rPr>
              <w:t>所占比例（%）</w:t>
            </w:r>
          </w:p>
        </w:tc>
        <w:tc>
          <w:tcPr>
            <w:tcW w:w="571"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sz w:val="18"/>
                <w:szCs w:val="18"/>
              </w:rPr>
            </w:pPr>
            <w:r>
              <w:rPr>
                <w:sz w:val="18"/>
                <w:szCs w:val="18"/>
              </w:rPr>
              <w:t>4.2</w:t>
            </w:r>
          </w:p>
        </w:tc>
      </w:tr>
      <w:tr>
        <w:tblPrEx>
          <w:tblCellMar>
            <w:top w:w="0" w:type="dxa"/>
            <w:left w:w="108" w:type="dxa"/>
            <w:bottom w:w="0" w:type="dxa"/>
            <w:right w:w="108" w:type="dxa"/>
          </w:tblCellMar>
        </w:tblPrEx>
        <w:trPr>
          <w:trHeight w:val="248" w:hRule="atLeast"/>
        </w:trPr>
        <w:tc>
          <w:tcPr>
            <w:tcW w:w="149"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建 设</w:t>
            </w:r>
            <w:r>
              <w:rPr>
                <w:b/>
                <w:bCs/>
                <w:sz w:val="18"/>
                <w:szCs w:val="18"/>
              </w:rPr>
              <w:br w:type="textWrapping"/>
            </w:r>
            <w:r>
              <w:rPr>
                <w:b/>
                <w:bCs/>
                <w:sz w:val="18"/>
                <w:szCs w:val="18"/>
              </w:rPr>
              <w:t>单 位</w:t>
            </w:r>
          </w:p>
        </w:tc>
        <w:tc>
          <w:tcPr>
            <w:tcW w:w="460" w:type="pct"/>
            <w:gridSpan w:val="3"/>
            <w:tcBorders>
              <w:top w:val="single" w:color="auto" w:sz="4" w:space="0"/>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单位名称</w:t>
            </w:r>
          </w:p>
        </w:tc>
        <w:tc>
          <w:tcPr>
            <w:tcW w:w="983" w:type="pct"/>
            <w:gridSpan w:val="2"/>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sz w:val="18"/>
                <w:szCs w:val="18"/>
              </w:rPr>
            </w:pPr>
            <w:r>
              <w:rPr>
                <w:rFonts w:hint="eastAsia"/>
                <w:kern w:val="2"/>
                <w:sz w:val="18"/>
                <w:szCs w:val="18"/>
              </w:rPr>
              <w:t>承德市鹰手营子矿区利民环卫清洁有限责任公司</w:t>
            </w:r>
          </w:p>
        </w:tc>
        <w:tc>
          <w:tcPr>
            <w:tcW w:w="425" w:type="pct"/>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法人代表</w:t>
            </w:r>
          </w:p>
        </w:tc>
        <w:tc>
          <w:tcPr>
            <w:tcW w:w="422"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sz w:val="18"/>
                <w:szCs w:val="18"/>
              </w:rPr>
            </w:pPr>
            <w:r>
              <w:rPr>
                <w:rFonts w:hint="eastAsia"/>
                <w:kern w:val="2"/>
                <w:sz w:val="18"/>
                <w:szCs w:val="18"/>
              </w:rPr>
              <w:t>王建伟</w:t>
            </w:r>
          </w:p>
        </w:tc>
        <w:tc>
          <w:tcPr>
            <w:tcW w:w="508" w:type="pct"/>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评价</w:t>
            </w:r>
            <w:r>
              <w:rPr>
                <w:b/>
                <w:bCs/>
                <w:sz w:val="18"/>
                <w:szCs w:val="18"/>
              </w:rPr>
              <w:br w:type="textWrapping"/>
            </w:r>
            <w:r>
              <w:rPr>
                <w:b/>
                <w:bCs/>
                <w:sz w:val="18"/>
                <w:szCs w:val="18"/>
              </w:rPr>
              <w:t>单位</w:t>
            </w:r>
          </w:p>
        </w:tc>
        <w:tc>
          <w:tcPr>
            <w:tcW w:w="473" w:type="pct"/>
            <w:tcBorders>
              <w:top w:val="single" w:color="auto" w:sz="4" w:space="0"/>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单位名称</w:t>
            </w:r>
          </w:p>
        </w:tc>
        <w:tc>
          <w:tcPr>
            <w:tcW w:w="663" w:type="pct"/>
            <w:gridSpan w:val="3"/>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sz w:val="18"/>
                <w:szCs w:val="18"/>
              </w:rPr>
            </w:pPr>
            <w:r>
              <w:rPr>
                <w:sz w:val="18"/>
                <w:szCs w:val="18"/>
              </w:rPr>
              <w:t>河北正润环境科技有限公司　</w:t>
            </w:r>
          </w:p>
        </w:tc>
        <w:tc>
          <w:tcPr>
            <w:tcW w:w="346" w:type="pct"/>
            <w:gridSpan w:val="2"/>
            <w:tcBorders>
              <w:top w:val="nil"/>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证书编号</w:t>
            </w:r>
          </w:p>
        </w:tc>
        <w:tc>
          <w:tcPr>
            <w:tcW w:w="571"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sz w:val="18"/>
                <w:szCs w:val="18"/>
              </w:rPr>
            </w:pPr>
            <w:r>
              <w:rPr>
                <w:sz w:val="18"/>
                <w:szCs w:val="18"/>
              </w:rPr>
              <w:t>国环评证甲字第1203号　</w:t>
            </w:r>
          </w:p>
        </w:tc>
      </w:tr>
      <w:tr>
        <w:tblPrEx>
          <w:tblCellMar>
            <w:top w:w="0" w:type="dxa"/>
            <w:left w:w="108" w:type="dxa"/>
            <w:bottom w:w="0" w:type="dxa"/>
            <w:right w:w="108" w:type="dxa"/>
          </w:tblCellMar>
        </w:tblPrEx>
        <w:trPr>
          <w:trHeight w:val="280" w:hRule="atLeast"/>
        </w:trPr>
        <w:tc>
          <w:tcPr>
            <w:tcW w:w="149" w:type="pct"/>
            <w:vMerge w:val="continue"/>
            <w:tcBorders>
              <w:top w:val="nil"/>
              <w:left w:val="single" w:color="auto" w:sz="4" w:space="0"/>
              <w:bottom w:val="single" w:color="auto" w:sz="4" w:space="0"/>
              <w:right w:val="single" w:color="auto" w:sz="4" w:space="0"/>
            </w:tcBorders>
            <w:vAlign w:val="center"/>
          </w:tcPr>
          <w:p>
            <w:pPr>
              <w:widowControl/>
              <w:adjustRightInd/>
              <w:spacing w:line="220" w:lineRule="exact"/>
              <w:jc w:val="left"/>
              <w:textAlignment w:val="auto"/>
              <w:rPr>
                <w:b/>
                <w:bCs/>
                <w:sz w:val="18"/>
                <w:szCs w:val="18"/>
              </w:rPr>
            </w:pPr>
          </w:p>
        </w:tc>
        <w:tc>
          <w:tcPr>
            <w:tcW w:w="460" w:type="pct"/>
            <w:gridSpan w:val="3"/>
            <w:tcBorders>
              <w:top w:val="single" w:color="auto" w:sz="4" w:space="0"/>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通讯地址</w:t>
            </w:r>
          </w:p>
        </w:tc>
        <w:tc>
          <w:tcPr>
            <w:tcW w:w="983" w:type="pct"/>
            <w:gridSpan w:val="2"/>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sz w:val="18"/>
                <w:szCs w:val="18"/>
              </w:rPr>
            </w:pPr>
            <w:r>
              <w:rPr>
                <w:rFonts w:hint="eastAsia"/>
                <w:kern w:val="2"/>
                <w:sz w:val="18"/>
                <w:szCs w:val="18"/>
              </w:rPr>
              <w:t>河北承德市鹰手营子矿区鹰手营子镇东马路4号办公楼自西向东第二室</w:t>
            </w:r>
          </w:p>
        </w:tc>
        <w:tc>
          <w:tcPr>
            <w:tcW w:w="425" w:type="pct"/>
            <w:gridSpan w:val="2"/>
            <w:tcBorders>
              <w:top w:val="nil"/>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技术负责人</w:t>
            </w:r>
          </w:p>
        </w:tc>
        <w:tc>
          <w:tcPr>
            <w:tcW w:w="422" w:type="pct"/>
            <w:tcBorders>
              <w:top w:val="nil"/>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sz w:val="18"/>
                <w:szCs w:val="18"/>
              </w:rPr>
            </w:pPr>
          </w:p>
        </w:tc>
        <w:tc>
          <w:tcPr>
            <w:tcW w:w="508" w:type="pct"/>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20" w:lineRule="exact"/>
              <w:jc w:val="left"/>
              <w:textAlignment w:val="auto"/>
              <w:rPr>
                <w:b/>
                <w:bCs/>
                <w:sz w:val="18"/>
                <w:szCs w:val="18"/>
              </w:rPr>
            </w:pPr>
          </w:p>
        </w:tc>
        <w:tc>
          <w:tcPr>
            <w:tcW w:w="473" w:type="pct"/>
            <w:tcBorders>
              <w:top w:val="nil"/>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通讯地址</w:t>
            </w:r>
          </w:p>
        </w:tc>
        <w:tc>
          <w:tcPr>
            <w:tcW w:w="663" w:type="pct"/>
            <w:gridSpan w:val="3"/>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sz w:val="18"/>
                <w:szCs w:val="18"/>
              </w:rPr>
            </w:pPr>
            <w:r>
              <w:rPr>
                <w:sz w:val="18"/>
                <w:szCs w:val="18"/>
              </w:rPr>
              <w:t>河北省石家庄市桥西区</w:t>
            </w:r>
            <w:r>
              <w:rPr>
                <w:rFonts w:hint="eastAsia"/>
                <w:sz w:val="18"/>
                <w:szCs w:val="18"/>
              </w:rPr>
              <w:t>西二环101号</w:t>
            </w:r>
            <w:r>
              <w:rPr>
                <w:sz w:val="18"/>
                <w:szCs w:val="18"/>
              </w:rPr>
              <w:t>　</w:t>
            </w:r>
          </w:p>
        </w:tc>
        <w:tc>
          <w:tcPr>
            <w:tcW w:w="346" w:type="pct"/>
            <w:gridSpan w:val="2"/>
            <w:tcBorders>
              <w:top w:val="nil"/>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联系电话</w:t>
            </w:r>
          </w:p>
        </w:tc>
        <w:tc>
          <w:tcPr>
            <w:tcW w:w="571"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sz w:val="18"/>
                <w:szCs w:val="18"/>
              </w:rPr>
            </w:pPr>
            <w:r>
              <w:rPr>
                <w:sz w:val="18"/>
                <w:szCs w:val="18"/>
              </w:rPr>
              <w:t>0311-66036383　</w:t>
            </w:r>
          </w:p>
        </w:tc>
      </w:tr>
      <w:tr>
        <w:tblPrEx>
          <w:tblCellMar>
            <w:top w:w="0" w:type="dxa"/>
            <w:left w:w="108" w:type="dxa"/>
            <w:bottom w:w="0" w:type="dxa"/>
            <w:right w:w="108" w:type="dxa"/>
          </w:tblCellMar>
        </w:tblPrEx>
        <w:trPr>
          <w:trHeight w:val="480" w:hRule="atLeast"/>
        </w:trPr>
        <w:tc>
          <w:tcPr>
            <w:tcW w:w="149" w:type="pct"/>
            <w:vMerge w:val="continue"/>
            <w:tcBorders>
              <w:top w:val="nil"/>
              <w:left w:val="single" w:color="auto" w:sz="4" w:space="0"/>
              <w:bottom w:val="single" w:color="auto" w:sz="4" w:space="0"/>
              <w:right w:val="single" w:color="auto" w:sz="4" w:space="0"/>
            </w:tcBorders>
            <w:vAlign w:val="center"/>
          </w:tcPr>
          <w:p>
            <w:pPr>
              <w:widowControl/>
              <w:adjustRightInd/>
              <w:spacing w:line="220" w:lineRule="exact"/>
              <w:jc w:val="left"/>
              <w:textAlignment w:val="auto"/>
              <w:rPr>
                <w:b/>
                <w:bCs/>
                <w:sz w:val="18"/>
                <w:szCs w:val="18"/>
              </w:rPr>
            </w:pPr>
          </w:p>
        </w:tc>
        <w:tc>
          <w:tcPr>
            <w:tcW w:w="460" w:type="pct"/>
            <w:gridSpan w:val="3"/>
            <w:tcBorders>
              <w:top w:val="single" w:color="auto" w:sz="4" w:space="0"/>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统一社会信用代码</w:t>
            </w:r>
            <w:r>
              <w:rPr>
                <w:b/>
                <w:bCs/>
                <w:sz w:val="18"/>
                <w:szCs w:val="18"/>
              </w:rPr>
              <w:br w:type="textWrapping"/>
            </w:r>
            <w:r>
              <w:rPr>
                <w:b/>
                <w:bCs/>
                <w:sz w:val="18"/>
                <w:szCs w:val="18"/>
              </w:rPr>
              <w:t>（组织机构代码）</w:t>
            </w:r>
          </w:p>
        </w:tc>
        <w:tc>
          <w:tcPr>
            <w:tcW w:w="983" w:type="pct"/>
            <w:gridSpan w:val="2"/>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sz w:val="18"/>
                <w:szCs w:val="18"/>
              </w:rPr>
            </w:pPr>
            <w:r>
              <w:rPr>
                <w:sz w:val="18"/>
                <w:szCs w:val="18"/>
              </w:rPr>
              <w:t>　</w:t>
            </w:r>
          </w:p>
        </w:tc>
        <w:tc>
          <w:tcPr>
            <w:tcW w:w="425" w:type="pct"/>
            <w:gridSpan w:val="2"/>
            <w:tcBorders>
              <w:top w:val="nil"/>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联系电话</w:t>
            </w:r>
          </w:p>
        </w:tc>
        <w:tc>
          <w:tcPr>
            <w:tcW w:w="422" w:type="pct"/>
            <w:tcBorders>
              <w:top w:val="nil"/>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sz w:val="18"/>
                <w:szCs w:val="18"/>
              </w:rPr>
            </w:pPr>
          </w:p>
        </w:tc>
        <w:tc>
          <w:tcPr>
            <w:tcW w:w="508" w:type="pct"/>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20" w:lineRule="exact"/>
              <w:jc w:val="left"/>
              <w:textAlignment w:val="auto"/>
              <w:rPr>
                <w:b/>
                <w:bCs/>
                <w:sz w:val="18"/>
                <w:szCs w:val="18"/>
              </w:rPr>
            </w:pPr>
          </w:p>
        </w:tc>
        <w:tc>
          <w:tcPr>
            <w:tcW w:w="473" w:type="pct"/>
            <w:tcBorders>
              <w:top w:val="nil"/>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环评文件项目负责人</w:t>
            </w:r>
          </w:p>
        </w:tc>
        <w:tc>
          <w:tcPr>
            <w:tcW w:w="1580" w:type="pct"/>
            <w:gridSpan w:val="6"/>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sz w:val="18"/>
                <w:szCs w:val="18"/>
              </w:rPr>
            </w:pPr>
          </w:p>
        </w:tc>
      </w:tr>
      <w:tr>
        <w:tblPrEx>
          <w:tblCellMar>
            <w:top w:w="0" w:type="dxa"/>
            <w:left w:w="108" w:type="dxa"/>
            <w:bottom w:w="0" w:type="dxa"/>
            <w:right w:w="108" w:type="dxa"/>
          </w:tblCellMar>
        </w:tblPrEx>
        <w:trPr>
          <w:trHeight w:val="555" w:hRule="atLeast"/>
        </w:trPr>
        <w:tc>
          <w:tcPr>
            <w:tcW w:w="149"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污</w:t>
            </w:r>
            <w:r>
              <w:rPr>
                <w:b/>
                <w:bCs/>
                <w:sz w:val="18"/>
                <w:szCs w:val="18"/>
              </w:rPr>
              <w:br w:type="textWrapping"/>
            </w:r>
            <w:r>
              <w:rPr>
                <w:b/>
                <w:bCs/>
                <w:sz w:val="18"/>
                <w:szCs w:val="18"/>
              </w:rPr>
              <w:t>染</w:t>
            </w:r>
            <w:r>
              <w:rPr>
                <w:b/>
                <w:bCs/>
                <w:sz w:val="18"/>
                <w:szCs w:val="18"/>
              </w:rPr>
              <w:br w:type="textWrapping"/>
            </w:r>
            <w:r>
              <w:rPr>
                <w:b/>
                <w:bCs/>
                <w:sz w:val="18"/>
                <w:szCs w:val="18"/>
              </w:rPr>
              <w:t>物</w:t>
            </w:r>
            <w:r>
              <w:rPr>
                <w:b/>
                <w:bCs/>
                <w:sz w:val="18"/>
                <w:szCs w:val="18"/>
              </w:rPr>
              <w:br w:type="textWrapping"/>
            </w:r>
            <w:r>
              <w:rPr>
                <w:b/>
                <w:bCs/>
                <w:sz w:val="18"/>
                <w:szCs w:val="18"/>
              </w:rPr>
              <w:t>排</w:t>
            </w:r>
            <w:r>
              <w:rPr>
                <w:b/>
                <w:bCs/>
                <w:sz w:val="18"/>
                <w:szCs w:val="18"/>
              </w:rPr>
              <w:br w:type="textWrapping"/>
            </w:r>
            <w:r>
              <w:rPr>
                <w:b/>
                <w:bCs/>
                <w:sz w:val="18"/>
                <w:szCs w:val="18"/>
              </w:rPr>
              <w:t>放</w:t>
            </w:r>
            <w:r>
              <w:rPr>
                <w:b/>
                <w:bCs/>
                <w:sz w:val="18"/>
                <w:szCs w:val="18"/>
              </w:rPr>
              <w:br w:type="textWrapping"/>
            </w:r>
            <w:r>
              <w:rPr>
                <w:b/>
                <w:bCs/>
                <w:sz w:val="18"/>
                <w:szCs w:val="18"/>
              </w:rPr>
              <w:t>量</w:t>
            </w:r>
          </w:p>
        </w:tc>
        <w:tc>
          <w:tcPr>
            <w:tcW w:w="460" w:type="pct"/>
            <w:gridSpan w:val="3"/>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b/>
                <w:bCs/>
                <w:sz w:val="18"/>
                <w:szCs w:val="18"/>
              </w:rPr>
            </w:pPr>
            <w:r>
              <w:rPr>
                <w:b/>
                <w:bCs/>
                <w:sz w:val="18"/>
                <w:szCs w:val="18"/>
              </w:rPr>
              <w:t>污染物</w:t>
            </w:r>
          </w:p>
        </w:tc>
        <w:tc>
          <w:tcPr>
            <w:tcW w:w="983" w:type="pct"/>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现有工程</w:t>
            </w:r>
            <w:r>
              <w:rPr>
                <w:b/>
                <w:bCs/>
                <w:sz w:val="18"/>
                <w:szCs w:val="18"/>
              </w:rPr>
              <w:br w:type="textWrapping"/>
            </w:r>
            <w:r>
              <w:rPr>
                <w:b/>
                <w:bCs/>
                <w:sz w:val="18"/>
                <w:szCs w:val="18"/>
              </w:rPr>
              <w:t>（已建+在建）</w:t>
            </w:r>
          </w:p>
        </w:tc>
        <w:tc>
          <w:tcPr>
            <w:tcW w:w="425" w:type="pct"/>
            <w:gridSpan w:val="2"/>
            <w:tcBorders>
              <w:top w:val="nil"/>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本工程</w:t>
            </w:r>
            <w:r>
              <w:rPr>
                <w:b/>
                <w:bCs/>
                <w:sz w:val="18"/>
                <w:szCs w:val="18"/>
              </w:rPr>
              <w:br w:type="textWrapping"/>
            </w:r>
            <w:r>
              <w:rPr>
                <w:b/>
                <w:bCs/>
                <w:sz w:val="18"/>
                <w:szCs w:val="18"/>
              </w:rPr>
              <w:t>（拟建或调整变更）</w:t>
            </w:r>
          </w:p>
        </w:tc>
        <w:tc>
          <w:tcPr>
            <w:tcW w:w="1776" w:type="pct"/>
            <w:gridSpan w:val="6"/>
            <w:tcBorders>
              <w:top w:val="single" w:color="auto" w:sz="4" w:space="0"/>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总体工程</w:t>
            </w:r>
            <w:r>
              <w:rPr>
                <w:b/>
                <w:bCs/>
                <w:sz w:val="18"/>
                <w:szCs w:val="18"/>
              </w:rPr>
              <w:br w:type="textWrapping"/>
            </w:r>
            <w:r>
              <w:rPr>
                <w:b/>
                <w:bCs/>
                <w:sz w:val="18"/>
                <w:szCs w:val="18"/>
              </w:rPr>
              <w:t>（已建+在建+拟建或调整变更）</w:t>
            </w:r>
          </w:p>
        </w:tc>
        <w:tc>
          <w:tcPr>
            <w:tcW w:w="1207" w:type="pct"/>
            <w:gridSpan w:val="4"/>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排放方式</w:t>
            </w:r>
          </w:p>
        </w:tc>
      </w:tr>
      <w:tr>
        <w:tblPrEx>
          <w:tblCellMar>
            <w:top w:w="0" w:type="dxa"/>
            <w:left w:w="108" w:type="dxa"/>
            <w:bottom w:w="0" w:type="dxa"/>
            <w:right w:w="108" w:type="dxa"/>
          </w:tblCellMar>
        </w:tblPrEx>
        <w:trPr>
          <w:trHeight w:val="457" w:hRule="atLeast"/>
        </w:trPr>
        <w:tc>
          <w:tcPr>
            <w:tcW w:w="149" w:type="pct"/>
            <w:vMerge w:val="continue"/>
            <w:tcBorders>
              <w:top w:val="nil"/>
              <w:left w:val="single" w:color="auto" w:sz="4" w:space="0"/>
              <w:bottom w:val="single" w:color="auto" w:sz="4" w:space="0"/>
              <w:right w:val="single" w:color="auto" w:sz="4" w:space="0"/>
            </w:tcBorders>
            <w:vAlign w:val="center"/>
          </w:tcPr>
          <w:p>
            <w:pPr>
              <w:widowControl/>
              <w:adjustRightInd/>
              <w:spacing w:line="220" w:lineRule="exact"/>
              <w:jc w:val="left"/>
              <w:textAlignment w:val="auto"/>
              <w:rPr>
                <w:b/>
                <w:bCs/>
                <w:sz w:val="18"/>
                <w:szCs w:val="18"/>
              </w:rPr>
            </w:pPr>
          </w:p>
        </w:tc>
        <w:tc>
          <w:tcPr>
            <w:tcW w:w="460" w:type="pct"/>
            <w:gridSpan w:val="3"/>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20" w:lineRule="exact"/>
              <w:jc w:val="left"/>
              <w:textAlignment w:val="auto"/>
              <w:rPr>
                <w:b/>
                <w:bCs/>
                <w:sz w:val="18"/>
                <w:szCs w:val="18"/>
              </w:rPr>
            </w:pPr>
          </w:p>
        </w:tc>
        <w:tc>
          <w:tcPr>
            <w:tcW w:w="373" w:type="pct"/>
            <w:tcBorders>
              <w:top w:val="nil"/>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rFonts w:hint="eastAsia" w:cs="宋体"/>
                <w:b/>
                <w:bCs/>
                <w:sz w:val="18"/>
                <w:szCs w:val="18"/>
              </w:rPr>
              <w:t>①</w:t>
            </w:r>
            <w:r>
              <w:rPr>
                <w:b/>
                <w:bCs/>
                <w:sz w:val="18"/>
                <w:szCs w:val="18"/>
              </w:rPr>
              <w:t>实际排放量</w:t>
            </w:r>
            <w:r>
              <w:rPr>
                <w:b/>
                <w:bCs/>
                <w:sz w:val="18"/>
                <w:szCs w:val="18"/>
              </w:rPr>
              <w:br w:type="textWrapping"/>
            </w:r>
            <w:r>
              <w:rPr>
                <w:b/>
                <w:bCs/>
                <w:sz w:val="18"/>
                <w:szCs w:val="18"/>
              </w:rPr>
              <w:t>（吨/年）</w:t>
            </w:r>
          </w:p>
        </w:tc>
        <w:tc>
          <w:tcPr>
            <w:tcW w:w="610" w:type="pct"/>
            <w:tcBorders>
              <w:top w:val="nil"/>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rFonts w:hint="eastAsia" w:cs="宋体"/>
                <w:b/>
                <w:bCs/>
                <w:sz w:val="18"/>
                <w:szCs w:val="18"/>
              </w:rPr>
              <w:t>②</w:t>
            </w:r>
            <w:r>
              <w:rPr>
                <w:b/>
                <w:bCs/>
                <w:sz w:val="18"/>
                <w:szCs w:val="18"/>
              </w:rPr>
              <w:t>许可排放量</w:t>
            </w:r>
            <w:r>
              <w:rPr>
                <w:b/>
                <w:bCs/>
                <w:sz w:val="18"/>
                <w:szCs w:val="18"/>
              </w:rPr>
              <w:br w:type="textWrapping"/>
            </w:r>
            <w:r>
              <w:rPr>
                <w:b/>
                <w:bCs/>
                <w:sz w:val="18"/>
                <w:szCs w:val="18"/>
              </w:rPr>
              <w:t>（吨/年）</w:t>
            </w:r>
          </w:p>
        </w:tc>
        <w:tc>
          <w:tcPr>
            <w:tcW w:w="425" w:type="pct"/>
            <w:gridSpan w:val="2"/>
            <w:tcBorders>
              <w:top w:val="nil"/>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rFonts w:hint="eastAsia" w:cs="宋体"/>
                <w:b/>
                <w:bCs/>
                <w:sz w:val="18"/>
                <w:szCs w:val="18"/>
              </w:rPr>
              <w:t>③</w:t>
            </w:r>
            <w:r>
              <w:rPr>
                <w:b/>
                <w:bCs/>
                <w:sz w:val="18"/>
                <w:szCs w:val="18"/>
              </w:rPr>
              <w:t>预测排放量</w:t>
            </w:r>
            <w:r>
              <w:rPr>
                <w:b/>
                <w:bCs/>
                <w:sz w:val="18"/>
                <w:szCs w:val="18"/>
              </w:rPr>
              <w:br w:type="textWrapping"/>
            </w:r>
            <w:r>
              <w:rPr>
                <w:b/>
                <w:bCs/>
                <w:sz w:val="18"/>
                <w:szCs w:val="18"/>
              </w:rPr>
              <w:t>（吨/年）</w:t>
            </w:r>
          </w:p>
        </w:tc>
        <w:tc>
          <w:tcPr>
            <w:tcW w:w="480" w:type="pct"/>
            <w:gridSpan w:val="2"/>
            <w:tcBorders>
              <w:top w:val="nil"/>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rFonts w:hint="eastAsia" w:cs="宋体"/>
                <w:b/>
                <w:bCs/>
                <w:sz w:val="18"/>
                <w:szCs w:val="18"/>
              </w:rPr>
              <w:t>④</w:t>
            </w:r>
            <w:r>
              <w:rPr>
                <w:b/>
                <w:bCs/>
                <w:sz w:val="18"/>
                <w:szCs w:val="18"/>
              </w:rPr>
              <w:t>“以新带老”削减量（吨/年）</w:t>
            </w:r>
          </w:p>
        </w:tc>
        <w:tc>
          <w:tcPr>
            <w:tcW w:w="450" w:type="pct"/>
            <w:tcBorders>
              <w:top w:val="nil"/>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rFonts w:hint="eastAsia" w:cs="宋体"/>
                <w:b/>
                <w:bCs/>
                <w:sz w:val="18"/>
                <w:szCs w:val="18"/>
              </w:rPr>
              <w:t>⑤</w:t>
            </w:r>
            <w:r>
              <w:rPr>
                <w:b/>
                <w:bCs/>
                <w:sz w:val="18"/>
                <w:szCs w:val="18"/>
              </w:rPr>
              <w:t>区域平衡替代本工程削减量</w:t>
            </w:r>
            <w:r>
              <w:rPr>
                <w:b/>
                <w:bCs/>
                <w:sz w:val="18"/>
                <w:szCs w:val="18"/>
                <w:vertAlign w:val="superscript"/>
              </w:rPr>
              <w:t>4</w:t>
            </w:r>
            <w:r>
              <w:rPr>
                <w:b/>
                <w:bCs/>
                <w:sz w:val="18"/>
                <w:szCs w:val="18"/>
              </w:rPr>
              <w:t>（吨/年）</w:t>
            </w:r>
          </w:p>
        </w:tc>
        <w:tc>
          <w:tcPr>
            <w:tcW w:w="473" w:type="pct"/>
            <w:tcBorders>
              <w:top w:val="nil"/>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rFonts w:hint="eastAsia" w:cs="宋体"/>
                <w:b/>
                <w:bCs/>
                <w:sz w:val="18"/>
                <w:szCs w:val="18"/>
              </w:rPr>
              <w:t>⑥</w:t>
            </w:r>
            <w:r>
              <w:rPr>
                <w:b/>
                <w:bCs/>
                <w:sz w:val="18"/>
                <w:szCs w:val="18"/>
              </w:rPr>
              <w:t>预测排放总量</w:t>
            </w:r>
            <w:r>
              <w:rPr>
                <w:b/>
                <w:bCs/>
                <w:sz w:val="18"/>
                <w:szCs w:val="18"/>
              </w:rPr>
              <w:br w:type="textWrapping"/>
            </w:r>
            <w:r>
              <w:rPr>
                <w:b/>
                <w:bCs/>
                <w:sz w:val="18"/>
                <w:szCs w:val="18"/>
              </w:rPr>
              <w:t>（吨/年）</w:t>
            </w:r>
          </w:p>
        </w:tc>
        <w:tc>
          <w:tcPr>
            <w:tcW w:w="373" w:type="pct"/>
            <w:gridSpan w:val="2"/>
            <w:tcBorders>
              <w:top w:val="nil"/>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rFonts w:hint="eastAsia" w:cs="宋体"/>
                <w:b/>
                <w:bCs/>
                <w:sz w:val="18"/>
                <w:szCs w:val="18"/>
              </w:rPr>
              <w:t>⑦</w:t>
            </w:r>
            <w:r>
              <w:rPr>
                <w:b/>
                <w:bCs/>
                <w:sz w:val="18"/>
                <w:szCs w:val="18"/>
              </w:rPr>
              <w:t>排放增减量</w:t>
            </w:r>
            <w:r>
              <w:rPr>
                <w:b/>
                <w:bCs/>
                <w:sz w:val="18"/>
                <w:szCs w:val="18"/>
              </w:rPr>
              <w:br w:type="textWrapping"/>
            </w:r>
            <w:r>
              <w:rPr>
                <w:b/>
                <w:bCs/>
                <w:sz w:val="18"/>
                <w:szCs w:val="18"/>
              </w:rPr>
              <w:t>（吨/年）</w:t>
            </w:r>
          </w:p>
        </w:tc>
        <w:tc>
          <w:tcPr>
            <w:tcW w:w="1207" w:type="pct"/>
            <w:gridSpan w:val="4"/>
            <w:vMerge w:val="continue"/>
            <w:tcBorders>
              <w:top w:val="nil"/>
              <w:left w:val="nil"/>
              <w:bottom w:val="single" w:color="auto" w:sz="4" w:space="0"/>
              <w:right w:val="single" w:color="auto" w:sz="4" w:space="0"/>
            </w:tcBorders>
            <w:vAlign w:val="center"/>
          </w:tcPr>
          <w:p>
            <w:pPr>
              <w:widowControl/>
              <w:adjustRightInd/>
              <w:spacing w:line="220" w:lineRule="exact"/>
              <w:jc w:val="left"/>
              <w:textAlignment w:val="auto"/>
              <w:rPr>
                <w:b/>
                <w:bCs/>
                <w:sz w:val="18"/>
                <w:szCs w:val="18"/>
              </w:rPr>
            </w:pPr>
          </w:p>
        </w:tc>
      </w:tr>
      <w:tr>
        <w:tblPrEx>
          <w:tblCellMar>
            <w:top w:w="0" w:type="dxa"/>
            <w:left w:w="108" w:type="dxa"/>
            <w:bottom w:w="0" w:type="dxa"/>
            <w:right w:w="108" w:type="dxa"/>
          </w:tblCellMar>
        </w:tblPrEx>
        <w:trPr>
          <w:trHeight w:val="253" w:hRule="atLeast"/>
        </w:trPr>
        <w:tc>
          <w:tcPr>
            <w:tcW w:w="149" w:type="pct"/>
            <w:vMerge w:val="continue"/>
            <w:tcBorders>
              <w:top w:val="nil"/>
              <w:left w:val="single" w:color="auto" w:sz="4" w:space="0"/>
              <w:bottom w:val="single" w:color="auto" w:sz="4" w:space="0"/>
              <w:right w:val="single" w:color="auto" w:sz="4" w:space="0"/>
            </w:tcBorders>
            <w:vAlign w:val="center"/>
          </w:tcPr>
          <w:p>
            <w:pPr>
              <w:widowControl/>
              <w:adjustRightInd/>
              <w:spacing w:line="220" w:lineRule="exact"/>
              <w:jc w:val="left"/>
              <w:textAlignment w:val="auto"/>
              <w:rPr>
                <w:b/>
                <w:bCs/>
                <w:sz w:val="18"/>
                <w:szCs w:val="18"/>
              </w:rPr>
            </w:pPr>
          </w:p>
        </w:tc>
        <w:tc>
          <w:tcPr>
            <w:tcW w:w="11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b/>
                <w:bCs/>
                <w:sz w:val="18"/>
                <w:szCs w:val="18"/>
              </w:rPr>
            </w:pPr>
            <w:r>
              <w:rPr>
                <w:b/>
                <w:bCs/>
                <w:sz w:val="18"/>
                <w:szCs w:val="18"/>
              </w:rPr>
              <w:t>废水</w:t>
            </w:r>
          </w:p>
        </w:tc>
        <w:tc>
          <w:tcPr>
            <w:tcW w:w="342" w:type="pct"/>
            <w:gridSpan w:val="2"/>
            <w:tcBorders>
              <w:top w:val="nil"/>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废水量</w:t>
            </w:r>
          </w:p>
        </w:tc>
        <w:tc>
          <w:tcPr>
            <w:tcW w:w="373" w:type="pct"/>
            <w:tcBorders>
              <w:top w:val="nil"/>
              <w:left w:val="nil"/>
              <w:bottom w:val="single" w:color="auto" w:sz="4" w:space="0"/>
              <w:right w:val="single" w:color="auto" w:sz="4" w:space="0"/>
            </w:tcBorders>
            <w:shd w:val="clear" w:color="auto" w:fill="auto"/>
            <w:vAlign w:val="center"/>
          </w:tcPr>
          <w:p>
            <w:pPr>
              <w:widowControl/>
              <w:adjustRightInd/>
              <w:spacing w:line="220" w:lineRule="exact"/>
              <w:jc w:val="left"/>
              <w:textAlignment w:val="auto"/>
              <w:rPr>
                <w:b/>
                <w:bCs/>
                <w:sz w:val="18"/>
                <w:szCs w:val="18"/>
              </w:rPr>
            </w:pPr>
            <w:r>
              <w:rPr>
                <w:b/>
                <w:bCs/>
                <w:sz w:val="18"/>
                <w:szCs w:val="18"/>
              </w:rPr>
              <w:t>　</w:t>
            </w:r>
          </w:p>
        </w:tc>
        <w:tc>
          <w:tcPr>
            <w:tcW w:w="610" w:type="pct"/>
            <w:tcBorders>
              <w:top w:val="nil"/>
              <w:left w:val="nil"/>
              <w:bottom w:val="single" w:color="auto" w:sz="4" w:space="0"/>
              <w:right w:val="single" w:color="auto" w:sz="4" w:space="0"/>
            </w:tcBorders>
            <w:shd w:val="clear" w:color="auto" w:fill="auto"/>
            <w:vAlign w:val="center"/>
          </w:tcPr>
          <w:p>
            <w:pPr>
              <w:widowControl/>
              <w:adjustRightInd/>
              <w:spacing w:line="220" w:lineRule="exact"/>
              <w:jc w:val="left"/>
              <w:textAlignment w:val="auto"/>
              <w:rPr>
                <w:b/>
                <w:bCs/>
                <w:sz w:val="18"/>
                <w:szCs w:val="18"/>
              </w:rPr>
            </w:pPr>
            <w:r>
              <w:rPr>
                <w:b/>
                <w:bCs/>
                <w:sz w:val="18"/>
                <w:szCs w:val="18"/>
              </w:rPr>
              <w:t>　</w:t>
            </w:r>
          </w:p>
        </w:tc>
        <w:tc>
          <w:tcPr>
            <w:tcW w:w="425" w:type="pct"/>
            <w:gridSpan w:val="2"/>
            <w:tcBorders>
              <w:top w:val="nil"/>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sz w:val="18"/>
                <w:szCs w:val="18"/>
              </w:rPr>
            </w:pPr>
          </w:p>
        </w:tc>
        <w:tc>
          <w:tcPr>
            <w:tcW w:w="480" w:type="pct"/>
            <w:gridSpan w:val="2"/>
            <w:tcBorders>
              <w:top w:val="nil"/>
              <w:left w:val="nil"/>
              <w:bottom w:val="single" w:color="auto" w:sz="4" w:space="0"/>
              <w:right w:val="single" w:color="auto" w:sz="4" w:space="0"/>
            </w:tcBorders>
            <w:shd w:val="clear" w:color="auto" w:fill="auto"/>
            <w:noWrap/>
            <w:vAlign w:val="center"/>
          </w:tcPr>
          <w:p>
            <w:pPr>
              <w:widowControl/>
              <w:adjustRightInd/>
              <w:spacing w:line="220" w:lineRule="exact"/>
              <w:jc w:val="left"/>
              <w:textAlignment w:val="auto"/>
              <w:rPr>
                <w:sz w:val="18"/>
                <w:szCs w:val="18"/>
              </w:rPr>
            </w:pPr>
            <w:r>
              <w:rPr>
                <w:sz w:val="18"/>
                <w:szCs w:val="18"/>
              </w:rPr>
              <w:t>　</w:t>
            </w:r>
          </w:p>
        </w:tc>
        <w:tc>
          <w:tcPr>
            <w:tcW w:w="450" w:type="pct"/>
            <w:tcBorders>
              <w:top w:val="nil"/>
              <w:left w:val="nil"/>
              <w:bottom w:val="single" w:color="auto" w:sz="4" w:space="0"/>
              <w:right w:val="single" w:color="auto" w:sz="4" w:space="0"/>
            </w:tcBorders>
            <w:shd w:val="clear" w:color="auto" w:fill="auto"/>
            <w:noWrap/>
            <w:vAlign w:val="center"/>
          </w:tcPr>
          <w:p>
            <w:pPr>
              <w:widowControl/>
              <w:adjustRightInd/>
              <w:spacing w:line="220" w:lineRule="exact"/>
              <w:jc w:val="left"/>
              <w:textAlignment w:val="auto"/>
              <w:rPr>
                <w:sz w:val="18"/>
                <w:szCs w:val="18"/>
              </w:rPr>
            </w:pPr>
            <w:r>
              <w:rPr>
                <w:sz w:val="18"/>
                <w:szCs w:val="18"/>
              </w:rPr>
              <w:t>　</w:t>
            </w:r>
          </w:p>
        </w:tc>
        <w:tc>
          <w:tcPr>
            <w:tcW w:w="473" w:type="pct"/>
            <w:tcBorders>
              <w:top w:val="nil"/>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sz w:val="18"/>
                <w:szCs w:val="18"/>
              </w:rPr>
            </w:pPr>
          </w:p>
        </w:tc>
        <w:tc>
          <w:tcPr>
            <w:tcW w:w="373" w:type="pct"/>
            <w:gridSpan w:val="2"/>
            <w:tcBorders>
              <w:top w:val="nil"/>
              <w:left w:val="nil"/>
              <w:bottom w:val="single" w:color="auto" w:sz="4" w:space="0"/>
              <w:right w:val="single" w:color="auto" w:sz="4" w:space="0"/>
            </w:tcBorders>
            <w:shd w:val="clear" w:color="auto" w:fill="auto"/>
            <w:vAlign w:val="center"/>
          </w:tcPr>
          <w:p>
            <w:pPr>
              <w:widowControl/>
              <w:adjustRightInd/>
              <w:spacing w:line="220" w:lineRule="exact"/>
              <w:jc w:val="left"/>
              <w:textAlignment w:val="auto"/>
              <w:rPr>
                <w:sz w:val="18"/>
                <w:szCs w:val="18"/>
              </w:rPr>
            </w:pPr>
            <w:r>
              <w:rPr>
                <w:sz w:val="18"/>
                <w:szCs w:val="18"/>
              </w:rPr>
              <w:t>　</w:t>
            </w:r>
          </w:p>
        </w:tc>
        <w:tc>
          <w:tcPr>
            <w:tcW w:w="1207" w:type="pct"/>
            <w:gridSpan w:val="4"/>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20" w:lineRule="exact"/>
              <w:textAlignment w:val="auto"/>
              <w:rPr>
                <w:sz w:val="18"/>
                <w:szCs w:val="18"/>
              </w:rPr>
            </w:pPr>
            <w:r>
              <w:rPr>
                <w:sz w:val="18"/>
                <w:szCs w:val="18"/>
              </w:rPr>
              <w:t>□不排放</w:t>
            </w:r>
          </w:p>
          <w:p>
            <w:pPr>
              <w:widowControl/>
              <w:adjustRightInd/>
              <w:spacing w:line="220" w:lineRule="exact"/>
              <w:textAlignment w:val="auto"/>
              <w:rPr>
                <w:sz w:val="18"/>
                <w:szCs w:val="18"/>
              </w:rPr>
            </w:pPr>
            <w:r>
              <w:rPr>
                <w:sz w:val="18"/>
                <w:szCs w:val="18"/>
              </w:rPr>
              <w:t>√间接排放：□市政管网</w:t>
            </w:r>
            <w:r>
              <w:rPr>
                <w:sz w:val="18"/>
                <w:szCs w:val="18"/>
              </w:rPr>
              <w:br w:type="textWrapping"/>
            </w:r>
            <w:r>
              <w:rPr>
                <w:sz w:val="18"/>
                <w:szCs w:val="18"/>
              </w:rPr>
              <w:t xml:space="preserve">           √集中式工业污水处理厂</w:t>
            </w:r>
            <w:r>
              <w:rPr>
                <w:sz w:val="18"/>
                <w:szCs w:val="18"/>
              </w:rPr>
              <w:br w:type="textWrapping"/>
            </w:r>
            <w:r>
              <w:rPr>
                <w:sz w:val="18"/>
                <w:szCs w:val="18"/>
              </w:rPr>
              <w:t>□直接排放：受纳水体___________</w:t>
            </w:r>
          </w:p>
        </w:tc>
      </w:tr>
      <w:tr>
        <w:tblPrEx>
          <w:tblCellMar>
            <w:top w:w="0" w:type="dxa"/>
            <w:left w:w="108" w:type="dxa"/>
            <w:bottom w:w="0" w:type="dxa"/>
            <w:right w:w="108" w:type="dxa"/>
          </w:tblCellMar>
        </w:tblPrEx>
        <w:trPr>
          <w:trHeight w:val="232" w:hRule="atLeast"/>
        </w:trPr>
        <w:tc>
          <w:tcPr>
            <w:tcW w:w="149" w:type="pct"/>
            <w:vMerge w:val="continue"/>
            <w:tcBorders>
              <w:top w:val="nil"/>
              <w:left w:val="single" w:color="auto" w:sz="4" w:space="0"/>
              <w:bottom w:val="single" w:color="auto" w:sz="4" w:space="0"/>
              <w:right w:val="single" w:color="auto" w:sz="4" w:space="0"/>
            </w:tcBorders>
            <w:vAlign w:val="center"/>
          </w:tcPr>
          <w:p>
            <w:pPr>
              <w:widowControl/>
              <w:adjustRightInd/>
              <w:spacing w:line="220" w:lineRule="exact"/>
              <w:jc w:val="left"/>
              <w:textAlignment w:val="auto"/>
              <w:rPr>
                <w:b/>
                <w:bCs/>
                <w:sz w:val="18"/>
                <w:szCs w:val="18"/>
              </w:rPr>
            </w:pPr>
          </w:p>
        </w:tc>
        <w:tc>
          <w:tcPr>
            <w:tcW w:w="118" w:type="pct"/>
            <w:vMerge w:val="continue"/>
            <w:tcBorders>
              <w:top w:val="nil"/>
              <w:left w:val="single" w:color="auto" w:sz="4" w:space="0"/>
              <w:bottom w:val="single" w:color="auto" w:sz="4" w:space="0"/>
              <w:right w:val="single" w:color="auto" w:sz="4" w:space="0"/>
            </w:tcBorders>
            <w:vAlign w:val="center"/>
          </w:tcPr>
          <w:p>
            <w:pPr>
              <w:widowControl/>
              <w:adjustRightInd/>
              <w:spacing w:line="220" w:lineRule="exact"/>
              <w:jc w:val="left"/>
              <w:textAlignment w:val="auto"/>
              <w:rPr>
                <w:b/>
                <w:bCs/>
                <w:sz w:val="18"/>
                <w:szCs w:val="18"/>
              </w:rPr>
            </w:pPr>
          </w:p>
        </w:tc>
        <w:tc>
          <w:tcPr>
            <w:tcW w:w="342" w:type="pct"/>
            <w:gridSpan w:val="2"/>
            <w:tcBorders>
              <w:top w:val="nil"/>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COD</w:t>
            </w:r>
          </w:p>
        </w:tc>
        <w:tc>
          <w:tcPr>
            <w:tcW w:w="373" w:type="pct"/>
            <w:tcBorders>
              <w:top w:val="nil"/>
              <w:left w:val="nil"/>
              <w:bottom w:val="single" w:color="auto" w:sz="4" w:space="0"/>
              <w:right w:val="single" w:color="auto" w:sz="4" w:space="0"/>
            </w:tcBorders>
            <w:shd w:val="clear" w:color="auto" w:fill="auto"/>
            <w:noWrap/>
            <w:vAlign w:val="center"/>
          </w:tcPr>
          <w:p>
            <w:pPr>
              <w:adjustRightInd/>
              <w:spacing w:line="220" w:lineRule="exact"/>
              <w:jc w:val="center"/>
              <w:textAlignment w:val="auto"/>
              <w:rPr>
                <w:kern w:val="2"/>
                <w:sz w:val="18"/>
                <w:szCs w:val="18"/>
              </w:rPr>
            </w:pPr>
          </w:p>
        </w:tc>
        <w:tc>
          <w:tcPr>
            <w:tcW w:w="610" w:type="pct"/>
            <w:tcBorders>
              <w:top w:val="nil"/>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sz w:val="18"/>
                <w:szCs w:val="18"/>
              </w:rPr>
            </w:pPr>
          </w:p>
        </w:tc>
        <w:tc>
          <w:tcPr>
            <w:tcW w:w="425" w:type="pct"/>
            <w:gridSpan w:val="2"/>
            <w:tcBorders>
              <w:top w:val="nil"/>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sz w:val="18"/>
                <w:szCs w:val="18"/>
              </w:rPr>
            </w:pPr>
            <w:r>
              <w:rPr>
                <w:rFonts w:hint="eastAsia"/>
                <w:sz w:val="18"/>
                <w:szCs w:val="18"/>
              </w:rPr>
              <w:t>-</w:t>
            </w:r>
          </w:p>
        </w:tc>
        <w:tc>
          <w:tcPr>
            <w:tcW w:w="480" w:type="pct"/>
            <w:gridSpan w:val="2"/>
            <w:tcBorders>
              <w:top w:val="nil"/>
              <w:left w:val="nil"/>
              <w:bottom w:val="single" w:color="auto" w:sz="4" w:space="0"/>
              <w:right w:val="single" w:color="auto" w:sz="4" w:space="0"/>
            </w:tcBorders>
            <w:shd w:val="clear" w:color="auto" w:fill="auto"/>
            <w:noWrap/>
            <w:vAlign w:val="center"/>
          </w:tcPr>
          <w:p>
            <w:pPr>
              <w:widowControl/>
              <w:adjustRightInd/>
              <w:spacing w:line="220" w:lineRule="exact"/>
              <w:jc w:val="left"/>
              <w:textAlignment w:val="auto"/>
              <w:rPr>
                <w:sz w:val="18"/>
                <w:szCs w:val="18"/>
              </w:rPr>
            </w:pPr>
          </w:p>
        </w:tc>
        <w:tc>
          <w:tcPr>
            <w:tcW w:w="450" w:type="pct"/>
            <w:tcBorders>
              <w:top w:val="nil"/>
              <w:left w:val="nil"/>
              <w:bottom w:val="single" w:color="auto" w:sz="4" w:space="0"/>
              <w:right w:val="single" w:color="auto" w:sz="4" w:space="0"/>
            </w:tcBorders>
            <w:shd w:val="clear" w:color="auto" w:fill="auto"/>
            <w:noWrap/>
            <w:vAlign w:val="center"/>
          </w:tcPr>
          <w:p>
            <w:pPr>
              <w:widowControl/>
              <w:adjustRightInd/>
              <w:spacing w:line="220" w:lineRule="exact"/>
              <w:jc w:val="left"/>
              <w:textAlignment w:val="auto"/>
              <w:rPr>
                <w:sz w:val="18"/>
                <w:szCs w:val="18"/>
              </w:rPr>
            </w:pPr>
            <w:r>
              <w:rPr>
                <w:sz w:val="18"/>
                <w:szCs w:val="18"/>
              </w:rPr>
              <w:t>　</w:t>
            </w:r>
          </w:p>
        </w:tc>
        <w:tc>
          <w:tcPr>
            <w:tcW w:w="473" w:type="pct"/>
            <w:tcBorders>
              <w:top w:val="nil"/>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sz w:val="18"/>
                <w:szCs w:val="18"/>
              </w:rPr>
            </w:pPr>
          </w:p>
        </w:tc>
        <w:tc>
          <w:tcPr>
            <w:tcW w:w="373" w:type="pct"/>
            <w:gridSpan w:val="2"/>
            <w:tcBorders>
              <w:top w:val="nil"/>
              <w:left w:val="nil"/>
              <w:bottom w:val="single" w:color="auto" w:sz="4" w:space="0"/>
              <w:right w:val="single" w:color="auto" w:sz="4" w:space="0"/>
            </w:tcBorders>
            <w:shd w:val="clear" w:color="auto" w:fill="auto"/>
            <w:noWrap/>
            <w:vAlign w:val="center"/>
          </w:tcPr>
          <w:p>
            <w:pPr>
              <w:widowControl/>
              <w:adjustRightInd/>
              <w:spacing w:line="220" w:lineRule="exact"/>
              <w:jc w:val="left"/>
              <w:textAlignment w:val="auto"/>
              <w:rPr>
                <w:sz w:val="18"/>
                <w:szCs w:val="18"/>
              </w:rPr>
            </w:pPr>
            <w:r>
              <w:rPr>
                <w:sz w:val="18"/>
                <w:szCs w:val="18"/>
              </w:rPr>
              <w:t>　</w:t>
            </w:r>
          </w:p>
        </w:tc>
        <w:tc>
          <w:tcPr>
            <w:tcW w:w="1207" w:type="pct"/>
            <w:gridSpan w:val="4"/>
            <w:vMerge w:val="continue"/>
            <w:tcBorders>
              <w:top w:val="nil"/>
              <w:left w:val="nil"/>
              <w:bottom w:val="single" w:color="auto" w:sz="4" w:space="0"/>
              <w:right w:val="single" w:color="auto" w:sz="4" w:space="0"/>
            </w:tcBorders>
            <w:vAlign w:val="center"/>
          </w:tcPr>
          <w:p>
            <w:pPr>
              <w:widowControl/>
              <w:adjustRightInd/>
              <w:spacing w:line="220" w:lineRule="exact"/>
              <w:jc w:val="left"/>
              <w:textAlignment w:val="auto"/>
              <w:rPr>
                <w:sz w:val="18"/>
                <w:szCs w:val="18"/>
              </w:rPr>
            </w:pPr>
          </w:p>
        </w:tc>
      </w:tr>
      <w:tr>
        <w:tblPrEx>
          <w:tblCellMar>
            <w:top w:w="0" w:type="dxa"/>
            <w:left w:w="108" w:type="dxa"/>
            <w:bottom w:w="0" w:type="dxa"/>
            <w:right w:w="108" w:type="dxa"/>
          </w:tblCellMar>
        </w:tblPrEx>
        <w:trPr>
          <w:trHeight w:val="232" w:hRule="atLeast"/>
        </w:trPr>
        <w:tc>
          <w:tcPr>
            <w:tcW w:w="149" w:type="pct"/>
            <w:vMerge w:val="continue"/>
            <w:tcBorders>
              <w:top w:val="nil"/>
              <w:left w:val="single" w:color="auto" w:sz="4" w:space="0"/>
              <w:bottom w:val="single" w:color="auto" w:sz="4" w:space="0"/>
              <w:right w:val="single" w:color="auto" w:sz="4" w:space="0"/>
            </w:tcBorders>
            <w:vAlign w:val="center"/>
          </w:tcPr>
          <w:p>
            <w:pPr>
              <w:widowControl/>
              <w:adjustRightInd/>
              <w:spacing w:line="220" w:lineRule="exact"/>
              <w:jc w:val="left"/>
              <w:textAlignment w:val="auto"/>
              <w:rPr>
                <w:b/>
                <w:bCs/>
                <w:sz w:val="18"/>
                <w:szCs w:val="18"/>
              </w:rPr>
            </w:pPr>
          </w:p>
        </w:tc>
        <w:tc>
          <w:tcPr>
            <w:tcW w:w="118" w:type="pct"/>
            <w:vMerge w:val="continue"/>
            <w:tcBorders>
              <w:top w:val="nil"/>
              <w:left w:val="single" w:color="auto" w:sz="4" w:space="0"/>
              <w:bottom w:val="single" w:color="auto" w:sz="4" w:space="0"/>
              <w:right w:val="single" w:color="auto" w:sz="4" w:space="0"/>
            </w:tcBorders>
            <w:vAlign w:val="center"/>
          </w:tcPr>
          <w:p>
            <w:pPr>
              <w:widowControl/>
              <w:adjustRightInd/>
              <w:spacing w:line="220" w:lineRule="exact"/>
              <w:jc w:val="left"/>
              <w:textAlignment w:val="auto"/>
              <w:rPr>
                <w:b/>
                <w:bCs/>
                <w:sz w:val="18"/>
                <w:szCs w:val="18"/>
              </w:rPr>
            </w:pPr>
          </w:p>
        </w:tc>
        <w:tc>
          <w:tcPr>
            <w:tcW w:w="342" w:type="pct"/>
            <w:gridSpan w:val="2"/>
            <w:tcBorders>
              <w:top w:val="nil"/>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氨氮</w:t>
            </w:r>
          </w:p>
        </w:tc>
        <w:tc>
          <w:tcPr>
            <w:tcW w:w="373" w:type="pct"/>
            <w:tcBorders>
              <w:top w:val="nil"/>
              <w:left w:val="nil"/>
              <w:bottom w:val="single" w:color="auto" w:sz="4" w:space="0"/>
              <w:right w:val="single" w:color="auto" w:sz="4" w:space="0"/>
            </w:tcBorders>
            <w:shd w:val="clear" w:color="auto" w:fill="auto"/>
            <w:noWrap/>
            <w:vAlign w:val="center"/>
          </w:tcPr>
          <w:p>
            <w:pPr>
              <w:adjustRightInd/>
              <w:spacing w:line="220" w:lineRule="exact"/>
              <w:jc w:val="center"/>
              <w:textAlignment w:val="auto"/>
              <w:rPr>
                <w:kern w:val="2"/>
                <w:sz w:val="18"/>
                <w:szCs w:val="18"/>
              </w:rPr>
            </w:pPr>
          </w:p>
        </w:tc>
        <w:tc>
          <w:tcPr>
            <w:tcW w:w="610" w:type="pct"/>
            <w:tcBorders>
              <w:top w:val="nil"/>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sz w:val="18"/>
                <w:szCs w:val="18"/>
              </w:rPr>
            </w:pPr>
          </w:p>
        </w:tc>
        <w:tc>
          <w:tcPr>
            <w:tcW w:w="425" w:type="pct"/>
            <w:gridSpan w:val="2"/>
            <w:tcBorders>
              <w:top w:val="nil"/>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sz w:val="18"/>
                <w:szCs w:val="18"/>
              </w:rPr>
            </w:pPr>
            <w:r>
              <w:rPr>
                <w:rFonts w:hint="eastAsia"/>
                <w:sz w:val="18"/>
                <w:szCs w:val="18"/>
              </w:rPr>
              <w:t>-</w:t>
            </w:r>
          </w:p>
        </w:tc>
        <w:tc>
          <w:tcPr>
            <w:tcW w:w="480" w:type="pct"/>
            <w:gridSpan w:val="2"/>
            <w:tcBorders>
              <w:top w:val="nil"/>
              <w:left w:val="nil"/>
              <w:bottom w:val="single" w:color="auto" w:sz="4" w:space="0"/>
              <w:right w:val="single" w:color="auto" w:sz="4" w:space="0"/>
            </w:tcBorders>
            <w:shd w:val="clear" w:color="auto" w:fill="auto"/>
            <w:noWrap/>
            <w:vAlign w:val="center"/>
          </w:tcPr>
          <w:p>
            <w:pPr>
              <w:widowControl/>
              <w:adjustRightInd/>
              <w:spacing w:line="220" w:lineRule="exact"/>
              <w:jc w:val="left"/>
              <w:textAlignment w:val="auto"/>
              <w:rPr>
                <w:sz w:val="18"/>
                <w:szCs w:val="18"/>
              </w:rPr>
            </w:pPr>
          </w:p>
        </w:tc>
        <w:tc>
          <w:tcPr>
            <w:tcW w:w="450" w:type="pct"/>
            <w:tcBorders>
              <w:top w:val="nil"/>
              <w:left w:val="nil"/>
              <w:bottom w:val="single" w:color="auto" w:sz="4" w:space="0"/>
              <w:right w:val="single" w:color="auto" w:sz="4" w:space="0"/>
            </w:tcBorders>
            <w:shd w:val="clear" w:color="auto" w:fill="auto"/>
            <w:noWrap/>
            <w:vAlign w:val="center"/>
          </w:tcPr>
          <w:p>
            <w:pPr>
              <w:widowControl/>
              <w:adjustRightInd/>
              <w:spacing w:line="220" w:lineRule="exact"/>
              <w:jc w:val="left"/>
              <w:textAlignment w:val="auto"/>
              <w:rPr>
                <w:sz w:val="18"/>
                <w:szCs w:val="18"/>
              </w:rPr>
            </w:pPr>
            <w:r>
              <w:rPr>
                <w:sz w:val="18"/>
                <w:szCs w:val="18"/>
              </w:rPr>
              <w:t>　</w:t>
            </w:r>
          </w:p>
        </w:tc>
        <w:tc>
          <w:tcPr>
            <w:tcW w:w="473" w:type="pct"/>
            <w:tcBorders>
              <w:top w:val="nil"/>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sz w:val="18"/>
                <w:szCs w:val="18"/>
              </w:rPr>
            </w:pPr>
          </w:p>
        </w:tc>
        <w:tc>
          <w:tcPr>
            <w:tcW w:w="373" w:type="pct"/>
            <w:gridSpan w:val="2"/>
            <w:tcBorders>
              <w:top w:val="nil"/>
              <w:left w:val="nil"/>
              <w:bottom w:val="single" w:color="auto" w:sz="4" w:space="0"/>
              <w:right w:val="single" w:color="auto" w:sz="4" w:space="0"/>
            </w:tcBorders>
            <w:shd w:val="clear" w:color="auto" w:fill="auto"/>
            <w:noWrap/>
            <w:vAlign w:val="center"/>
          </w:tcPr>
          <w:p>
            <w:pPr>
              <w:widowControl/>
              <w:adjustRightInd/>
              <w:spacing w:line="220" w:lineRule="exact"/>
              <w:jc w:val="left"/>
              <w:textAlignment w:val="auto"/>
              <w:rPr>
                <w:sz w:val="18"/>
                <w:szCs w:val="18"/>
              </w:rPr>
            </w:pPr>
            <w:r>
              <w:rPr>
                <w:sz w:val="18"/>
                <w:szCs w:val="18"/>
              </w:rPr>
              <w:t>　</w:t>
            </w:r>
          </w:p>
        </w:tc>
        <w:tc>
          <w:tcPr>
            <w:tcW w:w="1207" w:type="pct"/>
            <w:gridSpan w:val="4"/>
            <w:vMerge w:val="continue"/>
            <w:tcBorders>
              <w:top w:val="nil"/>
              <w:left w:val="nil"/>
              <w:bottom w:val="single" w:color="auto" w:sz="4" w:space="0"/>
              <w:right w:val="single" w:color="auto" w:sz="4" w:space="0"/>
            </w:tcBorders>
            <w:vAlign w:val="center"/>
          </w:tcPr>
          <w:p>
            <w:pPr>
              <w:widowControl/>
              <w:adjustRightInd/>
              <w:spacing w:line="220" w:lineRule="exact"/>
              <w:jc w:val="left"/>
              <w:textAlignment w:val="auto"/>
              <w:rPr>
                <w:sz w:val="18"/>
                <w:szCs w:val="18"/>
              </w:rPr>
            </w:pPr>
          </w:p>
        </w:tc>
      </w:tr>
      <w:tr>
        <w:tblPrEx>
          <w:tblCellMar>
            <w:top w:w="0" w:type="dxa"/>
            <w:left w:w="108" w:type="dxa"/>
            <w:bottom w:w="0" w:type="dxa"/>
            <w:right w:w="108" w:type="dxa"/>
          </w:tblCellMar>
        </w:tblPrEx>
        <w:trPr>
          <w:trHeight w:val="126" w:hRule="atLeast"/>
        </w:trPr>
        <w:tc>
          <w:tcPr>
            <w:tcW w:w="149" w:type="pct"/>
            <w:vMerge w:val="continue"/>
            <w:tcBorders>
              <w:top w:val="nil"/>
              <w:left w:val="single" w:color="auto" w:sz="4" w:space="0"/>
              <w:bottom w:val="single" w:color="auto" w:sz="4" w:space="0"/>
              <w:right w:val="single" w:color="auto" w:sz="4" w:space="0"/>
            </w:tcBorders>
            <w:vAlign w:val="center"/>
          </w:tcPr>
          <w:p>
            <w:pPr>
              <w:widowControl/>
              <w:adjustRightInd/>
              <w:spacing w:line="220" w:lineRule="exact"/>
              <w:jc w:val="left"/>
              <w:textAlignment w:val="auto"/>
              <w:rPr>
                <w:b/>
                <w:bCs/>
                <w:sz w:val="18"/>
                <w:szCs w:val="18"/>
              </w:rPr>
            </w:pPr>
          </w:p>
        </w:tc>
        <w:tc>
          <w:tcPr>
            <w:tcW w:w="118" w:type="pct"/>
            <w:vMerge w:val="continue"/>
            <w:tcBorders>
              <w:top w:val="nil"/>
              <w:left w:val="single" w:color="auto" w:sz="4" w:space="0"/>
              <w:bottom w:val="single" w:color="auto" w:sz="4" w:space="0"/>
              <w:right w:val="single" w:color="auto" w:sz="4" w:space="0"/>
            </w:tcBorders>
            <w:vAlign w:val="center"/>
          </w:tcPr>
          <w:p>
            <w:pPr>
              <w:widowControl/>
              <w:adjustRightInd/>
              <w:spacing w:line="220" w:lineRule="exact"/>
              <w:jc w:val="left"/>
              <w:textAlignment w:val="auto"/>
              <w:rPr>
                <w:b/>
                <w:bCs/>
                <w:sz w:val="18"/>
                <w:szCs w:val="18"/>
              </w:rPr>
            </w:pPr>
          </w:p>
        </w:tc>
        <w:tc>
          <w:tcPr>
            <w:tcW w:w="342" w:type="pct"/>
            <w:gridSpan w:val="2"/>
            <w:tcBorders>
              <w:top w:val="nil"/>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总磷</w:t>
            </w:r>
          </w:p>
        </w:tc>
        <w:tc>
          <w:tcPr>
            <w:tcW w:w="373" w:type="pct"/>
            <w:tcBorders>
              <w:top w:val="nil"/>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sz w:val="18"/>
                <w:szCs w:val="18"/>
              </w:rPr>
            </w:pPr>
          </w:p>
        </w:tc>
        <w:tc>
          <w:tcPr>
            <w:tcW w:w="610" w:type="pct"/>
            <w:tcBorders>
              <w:top w:val="nil"/>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sz w:val="18"/>
                <w:szCs w:val="18"/>
              </w:rPr>
            </w:pPr>
          </w:p>
        </w:tc>
        <w:tc>
          <w:tcPr>
            <w:tcW w:w="425" w:type="pct"/>
            <w:gridSpan w:val="2"/>
            <w:tcBorders>
              <w:top w:val="nil"/>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sz w:val="18"/>
                <w:szCs w:val="18"/>
              </w:rPr>
            </w:pPr>
          </w:p>
        </w:tc>
        <w:tc>
          <w:tcPr>
            <w:tcW w:w="480" w:type="pct"/>
            <w:gridSpan w:val="2"/>
            <w:tcBorders>
              <w:top w:val="nil"/>
              <w:left w:val="nil"/>
              <w:bottom w:val="single" w:color="auto" w:sz="4" w:space="0"/>
              <w:right w:val="single" w:color="auto" w:sz="4" w:space="0"/>
            </w:tcBorders>
            <w:shd w:val="clear" w:color="auto" w:fill="auto"/>
            <w:noWrap/>
            <w:vAlign w:val="center"/>
          </w:tcPr>
          <w:p>
            <w:pPr>
              <w:widowControl/>
              <w:adjustRightInd/>
              <w:spacing w:line="220" w:lineRule="exact"/>
              <w:jc w:val="left"/>
              <w:textAlignment w:val="auto"/>
              <w:rPr>
                <w:sz w:val="18"/>
                <w:szCs w:val="18"/>
              </w:rPr>
            </w:pPr>
            <w:r>
              <w:rPr>
                <w:sz w:val="18"/>
                <w:szCs w:val="18"/>
              </w:rPr>
              <w:t>　</w:t>
            </w:r>
          </w:p>
        </w:tc>
        <w:tc>
          <w:tcPr>
            <w:tcW w:w="450" w:type="pct"/>
            <w:tcBorders>
              <w:top w:val="nil"/>
              <w:left w:val="nil"/>
              <w:bottom w:val="single" w:color="auto" w:sz="4" w:space="0"/>
              <w:right w:val="single" w:color="auto" w:sz="4" w:space="0"/>
            </w:tcBorders>
            <w:shd w:val="clear" w:color="auto" w:fill="auto"/>
            <w:noWrap/>
            <w:vAlign w:val="center"/>
          </w:tcPr>
          <w:p>
            <w:pPr>
              <w:widowControl/>
              <w:adjustRightInd/>
              <w:spacing w:line="220" w:lineRule="exact"/>
              <w:jc w:val="left"/>
              <w:textAlignment w:val="auto"/>
              <w:rPr>
                <w:sz w:val="18"/>
                <w:szCs w:val="18"/>
              </w:rPr>
            </w:pPr>
            <w:r>
              <w:rPr>
                <w:sz w:val="18"/>
                <w:szCs w:val="18"/>
              </w:rPr>
              <w:t>　</w:t>
            </w:r>
          </w:p>
        </w:tc>
        <w:tc>
          <w:tcPr>
            <w:tcW w:w="473" w:type="pct"/>
            <w:tcBorders>
              <w:top w:val="nil"/>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sz w:val="18"/>
                <w:szCs w:val="18"/>
              </w:rPr>
            </w:pPr>
          </w:p>
        </w:tc>
        <w:tc>
          <w:tcPr>
            <w:tcW w:w="373" w:type="pct"/>
            <w:gridSpan w:val="2"/>
            <w:tcBorders>
              <w:top w:val="nil"/>
              <w:left w:val="nil"/>
              <w:bottom w:val="single" w:color="auto" w:sz="4" w:space="0"/>
              <w:right w:val="single" w:color="auto" w:sz="4" w:space="0"/>
            </w:tcBorders>
            <w:shd w:val="clear" w:color="auto" w:fill="auto"/>
            <w:noWrap/>
            <w:vAlign w:val="center"/>
          </w:tcPr>
          <w:p>
            <w:pPr>
              <w:widowControl/>
              <w:adjustRightInd/>
              <w:spacing w:line="220" w:lineRule="exact"/>
              <w:jc w:val="left"/>
              <w:textAlignment w:val="auto"/>
              <w:rPr>
                <w:sz w:val="18"/>
                <w:szCs w:val="18"/>
              </w:rPr>
            </w:pPr>
            <w:r>
              <w:rPr>
                <w:sz w:val="18"/>
                <w:szCs w:val="18"/>
              </w:rPr>
              <w:t>　</w:t>
            </w:r>
          </w:p>
        </w:tc>
        <w:tc>
          <w:tcPr>
            <w:tcW w:w="1207" w:type="pct"/>
            <w:gridSpan w:val="4"/>
            <w:vMerge w:val="continue"/>
            <w:tcBorders>
              <w:top w:val="nil"/>
              <w:left w:val="nil"/>
              <w:bottom w:val="single" w:color="auto" w:sz="4" w:space="0"/>
              <w:right w:val="single" w:color="auto" w:sz="4" w:space="0"/>
            </w:tcBorders>
            <w:vAlign w:val="center"/>
          </w:tcPr>
          <w:p>
            <w:pPr>
              <w:widowControl/>
              <w:adjustRightInd/>
              <w:spacing w:line="220" w:lineRule="exact"/>
              <w:jc w:val="left"/>
              <w:textAlignment w:val="auto"/>
              <w:rPr>
                <w:sz w:val="18"/>
                <w:szCs w:val="18"/>
              </w:rPr>
            </w:pPr>
          </w:p>
        </w:tc>
      </w:tr>
      <w:tr>
        <w:tblPrEx>
          <w:tblCellMar>
            <w:top w:w="0" w:type="dxa"/>
            <w:left w:w="108" w:type="dxa"/>
            <w:bottom w:w="0" w:type="dxa"/>
            <w:right w:w="108" w:type="dxa"/>
          </w:tblCellMar>
        </w:tblPrEx>
        <w:trPr>
          <w:trHeight w:val="268" w:hRule="atLeast"/>
        </w:trPr>
        <w:tc>
          <w:tcPr>
            <w:tcW w:w="149" w:type="pct"/>
            <w:vMerge w:val="continue"/>
            <w:tcBorders>
              <w:top w:val="nil"/>
              <w:left w:val="single" w:color="auto" w:sz="4" w:space="0"/>
              <w:bottom w:val="single" w:color="auto" w:sz="4" w:space="0"/>
              <w:right w:val="single" w:color="auto" w:sz="4" w:space="0"/>
            </w:tcBorders>
            <w:vAlign w:val="center"/>
          </w:tcPr>
          <w:p>
            <w:pPr>
              <w:widowControl/>
              <w:adjustRightInd/>
              <w:spacing w:line="220" w:lineRule="exact"/>
              <w:jc w:val="left"/>
              <w:textAlignment w:val="auto"/>
              <w:rPr>
                <w:b/>
                <w:bCs/>
                <w:sz w:val="18"/>
                <w:szCs w:val="18"/>
              </w:rPr>
            </w:pPr>
          </w:p>
        </w:tc>
        <w:tc>
          <w:tcPr>
            <w:tcW w:w="118" w:type="pct"/>
            <w:vMerge w:val="continue"/>
            <w:tcBorders>
              <w:top w:val="nil"/>
              <w:left w:val="single" w:color="auto" w:sz="4" w:space="0"/>
              <w:bottom w:val="single" w:color="auto" w:sz="4" w:space="0"/>
              <w:right w:val="single" w:color="auto" w:sz="4" w:space="0"/>
            </w:tcBorders>
            <w:vAlign w:val="center"/>
          </w:tcPr>
          <w:p>
            <w:pPr>
              <w:widowControl/>
              <w:adjustRightInd/>
              <w:spacing w:line="220" w:lineRule="exact"/>
              <w:jc w:val="left"/>
              <w:textAlignment w:val="auto"/>
              <w:rPr>
                <w:b/>
                <w:bCs/>
                <w:sz w:val="18"/>
                <w:szCs w:val="18"/>
              </w:rPr>
            </w:pPr>
          </w:p>
        </w:tc>
        <w:tc>
          <w:tcPr>
            <w:tcW w:w="342" w:type="pct"/>
            <w:gridSpan w:val="2"/>
            <w:tcBorders>
              <w:top w:val="nil"/>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总氮</w:t>
            </w:r>
          </w:p>
        </w:tc>
        <w:tc>
          <w:tcPr>
            <w:tcW w:w="373" w:type="pct"/>
            <w:tcBorders>
              <w:top w:val="nil"/>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sz w:val="18"/>
                <w:szCs w:val="18"/>
              </w:rPr>
            </w:pPr>
          </w:p>
        </w:tc>
        <w:tc>
          <w:tcPr>
            <w:tcW w:w="610" w:type="pct"/>
            <w:tcBorders>
              <w:top w:val="nil"/>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sz w:val="18"/>
                <w:szCs w:val="18"/>
              </w:rPr>
            </w:pPr>
          </w:p>
        </w:tc>
        <w:tc>
          <w:tcPr>
            <w:tcW w:w="425" w:type="pct"/>
            <w:gridSpan w:val="2"/>
            <w:tcBorders>
              <w:top w:val="nil"/>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sz w:val="18"/>
                <w:szCs w:val="18"/>
              </w:rPr>
            </w:pPr>
          </w:p>
        </w:tc>
        <w:tc>
          <w:tcPr>
            <w:tcW w:w="480" w:type="pct"/>
            <w:gridSpan w:val="2"/>
            <w:tcBorders>
              <w:top w:val="nil"/>
              <w:left w:val="nil"/>
              <w:bottom w:val="single" w:color="auto" w:sz="4" w:space="0"/>
              <w:right w:val="single" w:color="auto" w:sz="4" w:space="0"/>
            </w:tcBorders>
            <w:shd w:val="clear" w:color="auto" w:fill="auto"/>
            <w:noWrap/>
            <w:vAlign w:val="center"/>
          </w:tcPr>
          <w:p>
            <w:pPr>
              <w:widowControl/>
              <w:adjustRightInd/>
              <w:spacing w:line="220" w:lineRule="exact"/>
              <w:jc w:val="left"/>
              <w:textAlignment w:val="auto"/>
              <w:rPr>
                <w:sz w:val="18"/>
                <w:szCs w:val="18"/>
              </w:rPr>
            </w:pPr>
            <w:r>
              <w:rPr>
                <w:sz w:val="18"/>
                <w:szCs w:val="18"/>
              </w:rPr>
              <w:t>　</w:t>
            </w:r>
          </w:p>
        </w:tc>
        <w:tc>
          <w:tcPr>
            <w:tcW w:w="450" w:type="pct"/>
            <w:tcBorders>
              <w:top w:val="nil"/>
              <w:left w:val="nil"/>
              <w:bottom w:val="single" w:color="auto" w:sz="4" w:space="0"/>
              <w:right w:val="single" w:color="auto" w:sz="4" w:space="0"/>
            </w:tcBorders>
            <w:shd w:val="clear" w:color="auto" w:fill="auto"/>
            <w:noWrap/>
            <w:vAlign w:val="center"/>
          </w:tcPr>
          <w:p>
            <w:pPr>
              <w:widowControl/>
              <w:adjustRightInd/>
              <w:spacing w:line="220" w:lineRule="exact"/>
              <w:jc w:val="left"/>
              <w:textAlignment w:val="auto"/>
              <w:rPr>
                <w:sz w:val="18"/>
                <w:szCs w:val="18"/>
              </w:rPr>
            </w:pPr>
            <w:r>
              <w:rPr>
                <w:sz w:val="18"/>
                <w:szCs w:val="18"/>
              </w:rPr>
              <w:t>　</w:t>
            </w:r>
          </w:p>
        </w:tc>
        <w:tc>
          <w:tcPr>
            <w:tcW w:w="473" w:type="pct"/>
            <w:tcBorders>
              <w:top w:val="nil"/>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sz w:val="18"/>
                <w:szCs w:val="18"/>
              </w:rPr>
            </w:pPr>
          </w:p>
        </w:tc>
        <w:tc>
          <w:tcPr>
            <w:tcW w:w="373" w:type="pct"/>
            <w:gridSpan w:val="2"/>
            <w:tcBorders>
              <w:top w:val="nil"/>
              <w:left w:val="nil"/>
              <w:bottom w:val="single" w:color="auto" w:sz="4" w:space="0"/>
              <w:right w:val="single" w:color="auto" w:sz="4" w:space="0"/>
            </w:tcBorders>
            <w:shd w:val="clear" w:color="auto" w:fill="auto"/>
            <w:noWrap/>
            <w:vAlign w:val="center"/>
          </w:tcPr>
          <w:p>
            <w:pPr>
              <w:widowControl/>
              <w:adjustRightInd/>
              <w:spacing w:line="220" w:lineRule="exact"/>
              <w:jc w:val="left"/>
              <w:textAlignment w:val="auto"/>
              <w:rPr>
                <w:sz w:val="18"/>
                <w:szCs w:val="18"/>
              </w:rPr>
            </w:pPr>
            <w:r>
              <w:rPr>
                <w:sz w:val="18"/>
                <w:szCs w:val="18"/>
              </w:rPr>
              <w:t>　</w:t>
            </w:r>
          </w:p>
        </w:tc>
        <w:tc>
          <w:tcPr>
            <w:tcW w:w="1207" w:type="pct"/>
            <w:gridSpan w:val="4"/>
            <w:vMerge w:val="continue"/>
            <w:tcBorders>
              <w:top w:val="nil"/>
              <w:left w:val="nil"/>
              <w:bottom w:val="single" w:color="auto" w:sz="4" w:space="0"/>
              <w:right w:val="single" w:color="auto" w:sz="4" w:space="0"/>
            </w:tcBorders>
            <w:vAlign w:val="center"/>
          </w:tcPr>
          <w:p>
            <w:pPr>
              <w:widowControl/>
              <w:adjustRightInd/>
              <w:spacing w:line="220" w:lineRule="exact"/>
              <w:jc w:val="left"/>
              <w:textAlignment w:val="auto"/>
              <w:rPr>
                <w:sz w:val="18"/>
                <w:szCs w:val="18"/>
              </w:rPr>
            </w:pPr>
          </w:p>
        </w:tc>
      </w:tr>
      <w:tr>
        <w:tblPrEx>
          <w:tblCellMar>
            <w:top w:w="0" w:type="dxa"/>
            <w:left w:w="108" w:type="dxa"/>
            <w:bottom w:w="0" w:type="dxa"/>
            <w:right w:w="108" w:type="dxa"/>
          </w:tblCellMar>
        </w:tblPrEx>
        <w:trPr>
          <w:trHeight w:val="232" w:hRule="atLeast"/>
        </w:trPr>
        <w:tc>
          <w:tcPr>
            <w:tcW w:w="149" w:type="pct"/>
            <w:vMerge w:val="continue"/>
            <w:tcBorders>
              <w:top w:val="nil"/>
              <w:left w:val="single" w:color="auto" w:sz="4" w:space="0"/>
              <w:bottom w:val="single" w:color="auto" w:sz="4" w:space="0"/>
              <w:right w:val="single" w:color="auto" w:sz="4" w:space="0"/>
            </w:tcBorders>
            <w:vAlign w:val="center"/>
          </w:tcPr>
          <w:p>
            <w:pPr>
              <w:widowControl/>
              <w:adjustRightInd/>
              <w:spacing w:line="220" w:lineRule="exact"/>
              <w:jc w:val="left"/>
              <w:textAlignment w:val="auto"/>
              <w:rPr>
                <w:b/>
                <w:bCs/>
                <w:sz w:val="18"/>
                <w:szCs w:val="18"/>
              </w:rPr>
            </w:pPr>
          </w:p>
        </w:tc>
        <w:tc>
          <w:tcPr>
            <w:tcW w:w="11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b/>
                <w:bCs/>
                <w:sz w:val="18"/>
                <w:szCs w:val="18"/>
              </w:rPr>
            </w:pPr>
            <w:r>
              <w:rPr>
                <w:b/>
                <w:bCs/>
                <w:sz w:val="18"/>
                <w:szCs w:val="18"/>
              </w:rPr>
              <w:t>废气</w:t>
            </w:r>
          </w:p>
        </w:tc>
        <w:tc>
          <w:tcPr>
            <w:tcW w:w="342" w:type="pct"/>
            <w:gridSpan w:val="2"/>
            <w:tcBorders>
              <w:top w:val="nil"/>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废气量</w:t>
            </w:r>
          </w:p>
        </w:tc>
        <w:tc>
          <w:tcPr>
            <w:tcW w:w="373" w:type="pct"/>
            <w:tcBorders>
              <w:top w:val="nil"/>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sz w:val="18"/>
                <w:szCs w:val="18"/>
              </w:rPr>
            </w:pPr>
          </w:p>
        </w:tc>
        <w:tc>
          <w:tcPr>
            <w:tcW w:w="610" w:type="pct"/>
            <w:tcBorders>
              <w:top w:val="nil"/>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sz w:val="18"/>
                <w:szCs w:val="18"/>
              </w:rPr>
            </w:pPr>
          </w:p>
        </w:tc>
        <w:tc>
          <w:tcPr>
            <w:tcW w:w="425" w:type="pct"/>
            <w:gridSpan w:val="2"/>
            <w:tcBorders>
              <w:top w:val="nil"/>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sz w:val="18"/>
                <w:szCs w:val="18"/>
              </w:rPr>
            </w:pPr>
          </w:p>
        </w:tc>
        <w:tc>
          <w:tcPr>
            <w:tcW w:w="480" w:type="pct"/>
            <w:gridSpan w:val="2"/>
            <w:tcBorders>
              <w:top w:val="nil"/>
              <w:left w:val="nil"/>
              <w:bottom w:val="single" w:color="auto" w:sz="4" w:space="0"/>
              <w:right w:val="single" w:color="auto" w:sz="4" w:space="0"/>
            </w:tcBorders>
            <w:shd w:val="clear" w:color="auto" w:fill="auto"/>
            <w:noWrap/>
            <w:vAlign w:val="center"/>
          </w:tcPr>
          <w:p>
            <w:pPr>
              <w:widowControl/>
              <w:adjustRightInd/>
              <w:spacing w:line="220" w:lineRule="exact"/>
              <w:jc w:val="left"/>
              <w:textAlignment w:val="auto"/>
              <w:rPr>
                <w:sz w:val="18"/>
                <w:szCs w:val="18"/>
              </w:rPr>
            </w:pPr>
            <w:r>
              <w:rPr>
                <w:sz w:val="18"/>
                <w:szCs w:val="18"/>
              </w:rPr>
              <w:t>　</w:t>
            </w:r>
          </w:p>
        </w:tc>
        <w:tc>
          <w:tcPr>
            <w:tcW w:w="450" w:type="pct"/>
            <w:tcBorders>
              <w:top w:val="nil"/>
              <w:left w:val="nil"/>
              <w:bottom w:val="single" w:color="auto" w:sz="4" w:space="0"/>
              <w:right w:val="single" w:color="auto" w:sz="4" w:space="0"/>
            </w:tcBorders>
            <w:shd w:val="clear" w:color="auto" w:fill="auto"/>
            <w:noWrap/>
            <w:vAlign w:val="center"/>
          </w:tcPr>
          <w:p>
            <w:pPr>
              <w:widowControl/>
              <w:adjustRightInd/>
              <w:spacing w:line="220" w:lineRule="exact"/>
              <w:jc w:val="left"/>
              <w:textAlignment w:val="auto"/>
              <w:rPr>
                <w:sz w:val="18"/>
                <w:szCs w:val="18"/>
              </w:rPr>
            </w:pPr>
            <w:r>
              <w:rPr>
                <w:sz w:val="18"/>
                <w:szCs w:val="18"/>
              </w:rPr>
              <w:t>　</w:t>
            </w:r>
          </w:p>
        </w:tc>
        <w:tc>
          <w:tcPr>
            <w:tcW w:w="473" w:type="pct"/>
            <w:tcBorders>
              <w:top w:val="nil"/>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sz w:val="18"/>
                <w:szCs w:val="18"/>
              </w:rPr>
            </w:pPr>
          </w:p>
        </w:tc>
        <w:tc>
          <w:tcPr>
            <w:tcW w:w="373" w:type="pct"/>
            <w:gridSpan w:val="2"/>
            <w:tcBorders>
              <w:top w:val="nil"/>
              <w:left w:val="nil"/>
              <w:bottom w:val="single" w:color="auto" w:sz="4" w:space="0"/>
              <w:right w:val="single" w:color="auto" w:sz="4" w:space="0"/>
            </w:tcBorders>
            <w:shd w:val="clear" w:color="auto" w:fill="auto"/>
            <w:noWrap/>
            <w:vAlign w:val="center"/>
          </w:tcPr>
          <w:p>
            <w:pPr>
              <w:widowControl/>
              <w:adjustRightInd/>
              <w:spacing w:line="220" w:lineRule="exact"/>
              <w:jc w:val="left"/>
              <w:textAlignment w:val="auto"/>
              <w:rPr>
                <w:sz w:val="18"/>
                <w:szCs w:val="18"/>
              </w:rPr>
            </w:pPr>
            <w:r>
              <w:rPr>
                <w:sz w:val="18"/>
                <w:szCs w:val="18"/>
              </w:rPr>
              <w:t>　</w:t>
            </w:r>
          </w:p>
        </w:tc>
        <w:tc>
          <w:tcPr>
            <w:tcW w:w="1207" w:type="pct"/>
            <w:gridSpan w:val="4"/>
            <w:tcBorders>
              <w:top w:val="single" w:color="auto" w:sz="4" w:space="0"/>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sz w:val="18"/>
                <w:szCs w:val="18"/>
              </w:rPr>
            </w:pPr>
            <w:r>
              <w:rPr>
                <w:sz w:val="18"/>
                <w:szCs w:val="18"/>
              </w:rPr>
              <w:t>/</w:t>
            </w:r>
          </w:p>
        </w:tc>
      </w:tr>
      <w:tr>
        <w:tblPrEx>
          <w:tblCellMar>
            <w:top w:w="0" w:type="dxa"/>
            <w:left w:w="108" w:type="dxa"/>
            <w:bottom w:w="0" w:type="dxa"/>
            <w:right w:w="108" w:type="dxa"/>
          </w:tblCellMar>
        </w:tblPrEx>
        <w:trPr>
          <w:trHeight w:val="232" w:hRule="atLeast"/>
        </w:trPr>
        <w:tc>
          <w:tcPr>
            <w:tcW w:w="149" w:type="pct"/>
            <w:vMerge w:val="continue"/>
            <w:tcBorders>
              <w:top w:val="nil"/>
              <w:left w:val="single" w:color="auto" w:sz="4" w:space="0"/>
              <w:bottom w:val="single" w:color="auto" w:sz="4" w:space="0"/>
              <w:right w:val="single" w:color="auto" w:sz="4" w:space="0"/>
            </w:tcBorders>
            <w:vAlign w:val="center"/>
          </w:tcPr>
          <w:p>
            <w:pPr>
              <w:widowControl/>
              <w:adjustRightInd/>
              <w:spacing w:line="220" w:lineRule="exact"/>
              <w:jc w:val="left"/>
              <w:textAlignment w:val="auto"/>
              <w:rPr>
                <w:b/>
                <w:bCs/>
                <w:sz w:val="18"/>
                <w:szCs w:val="18"/>
              </w:rPr>
            </w:pPr>
          </w:p>
        </w:tc>
        <w:tc>
          <w:tcPr>
            <w:tcW w:w="118" w:type="pct"/>
            <w:vMerge w:val="continue"/>
            <w:tcBorders>
              <w:top w:val="nil"/>
              <w:left w:val="single" w:color="auto" w:sz="4" w:space="0"/>
              <w:bottom w:val="single" w:color="auto" w:sz="4" w:space="0"/>
              <w:right w:val="single" w:color="auto" w:sz="4" w:space="0"/>
            </w:tcBorders>
            <w:vAlign w:val="center"/>
          </w:tcPr>
          <w:p>
            <w:pPr>
              <w:widowControl/>
              <w:adjustRightInd/>
              <w:spacing w:line="220" w:lineRule="exact"/>
              <w:jc w:val="left"/>
              <w:textAlignment w:val="auto"/>
              <w:rPr>
                <w:b/>
                <w:bCs/>
                <w:sz w:val="18"/>
                <w:szCs w:val="18"/>
              </w:rPr>
            </w:pPr>
          </w:p>
        </w:tc>
        <w:tc>
          <w:tcPr>
            <w:tcW w:w="342" w:type="pct"/>
            <w:gridSpan w:val="2"/>
            <w:tcBorders>
              <w:top w:val="nil"/>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二氧化硫</w:t>
            </w:r>
          </w:p>
        </w:tc>
        <w:tc>
          <w:tcPr>
            <w:tcW w:w="373" w:type="pct"/>
            <w:tcBorders>
              <w:top w:val="nil"/>
              <w:left w:val="nil"/>
              <w:bottom w:val="single" w:color="auto" w:sz="4" w:space="0"/>
              <w:right w:val="single" w:color="auto" w:sz="4" w:space="0"/>
            </w:tcBorders>
            <w:shd w:val="clear" w:color="auto" w:fill="auto"/>
            <w:noWrap/>
            <w:vAlign w:val="center"/>
          </w:tcPr>
          <w:p>
            <w:pPr>
              <w:adjustRightInd/>
              <w:spacing w:line="220" w:lineRule="exact"/>
              <w:jc w:val="center"/>
              <w:textAlignment w:val="auto"/>
              <w:rPr>
                <w:sz w:val="18"/>
                <w:szCs w:val="18"/>
              </w:rPr>
            </w:pPr>
          </w:p>
        </w:tc>
        <w:tc>
          <w:tcPr>
            <w:tcW w:w="610" w:type="pct"/>
            <w:tcBorders>
              <w:top w:val="nil"/>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sz w:val="18"/>
                <w:szCs w:val="18"/>
              </w:rPr>
            </w:pPr>
          </w:p>
        </w:tc>
        <w:tc>
          <w:tcPr>
            <w:tcW w:w="425" w:type="pct"/>
            <w:gridSpan w:val="2"/>
            <w:tcBorders>
              <w:top w:val="nil"/>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sz w:val="18"/>
                <w:szCs w:val="18"/>
              </w:rPr>
            </w:pPr>
            <w:r>
              <w:rPr>
                <w:rFonts w:hint="eastAsia"/>
                <w:sz w:val="18"/>
                <w:szCs w:val="18"/>
              </w:rPr>
              <w:t>-</w:t>
            </w:r>
          </w:p>
        </w:tc>
        <w:tc>
          <w:tcPr>
            <w:tcW w:w="480" w:type="pct"/>
            <w:gridSpan w:val="2"/>
            <w:tcBorders>
              <w:top w:val="nil"/>
              <w:left w:val="nil"/>
              <w:bottom w:val="single" w:color="auto" w:sz="4" w:space="0"/>
              <w:right w:val="single" w:color="auto" w:sz="4" w:space="0"/>
            </w:tcBorders>
            <w:shd w:val="clear" w:color="auto" w:fill="auto"/>
            <w:noWrap/>
            <w:vAlign w:val="center"/>
          </w:tcPr>
          <w:p>
            <w:pPr>
              <w:adjustRightInd/>
              <w:spacing w:line="220" w:lineRule="exact"/>
              <w:jc w:val="center"/>
              <w:textAlignment w:val="auto"/>
              <w:rPr>
                <w:sz w:val="18"/>
                <w:szCs w:val="18"/>
              </w:rPr>
            </w:pPr>
          </w:p>
        </w:tc>
        <w:tc>
          <w:tcPr>
            <w:tcW w:w="450" w:type="pct"/>
            <w:tcBorders>
              <w:top w:val="nil"/>
              <w:left w:val="nil"/>
              <w:bottom w:val="single" w:color="auto" w:sz="4" w:space="0"/>
              <w:right w:val="single" w:color="auto" w:sz="4" w:space="0"/>
            </w:tcBorders>
            <w:shd w:val="clear" w:color="auto" w:fill="auto"/>
            <w:noWrap/>
            <w:vAlign w:val="center"/>
          </w:tcPr>
          <w:p>
            <w:pPr>
              <w:widowControl/>
              <w:adjustRightInd/>
              <w:spacing w:line="220" w:lineRule="exact"/>
              <w:jc w:val="left"/>
              <w:textAlignment w:val="auto"/>
              <w:rPr>
                <w:sz w:val="18"/>
                <w:szCs w:val="18"/>
              </w:rPr>
            </w:pPr>
          </w:p>
        </w:tc>
        <w:tc>
          <w:tcPr>
            <w:tcW w:w="473" w:type="pct"/>
            <w:tcBorders>
              <w:top w:val="nil"/>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sz w:val="18"/>
                <w:szCs w:val="18"/>
              </w:rPr>
            </w:pPr>
          </w:p>
        </w:tc>
        <w:tc>
          <w:tcPr>
            <w:tcW w:w="373" w:type="pct"/>
            <w:gridSpan w:val="2"/>
            <w:tcBorders>
              <w:top w:val="nil"/>
              <w:left w:val="nil"/>
              <w:bottom w:val="single" w:color="auto" w:sz="4" w:space="0"/>
              <w:right w:val="single" w:color="auto" w:sz="4" w:space="0"/>
            </w:tcBorders>
            <w:shd w:val="clear" w:color="auto" w:fill="auto"/>
            <w:noWrap/>
            <w:vAlign w:val="center"/>
          </w:tcPr>
          <w:p>
            <w:pPr>
              <w:adjustRightInd/>
              <w:spacing w:line="220" w:lineRule="exact"/>
              <w:jc w:val="center"/>
              <w:textAlignment w:val="auto"/>
              <w:rPr>
                <w:sz w:val="18"/>
                <w:szCs w:val="18"/>
              </w:rPr>
            </w:pPr>
          </w:p>
        </w:tc>
        <w:tc>
          <w:tcPr>
            <w:tcW w:w="1207" w:type="pct"/>
            <w:gridSpan w:val="4"/>
            <w:tcBorders>
              <w:top w:val="single" w:color="auto" w:sz="4" w:space="0"/>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sz w:val="18"/>
                <w:szCs w:val="18"/>
              </w:rPr>
            </w:pPr>
            <w:r>
              <w:rPr>
                <w:sz w:val="18"/>
                <w:szCs w:val="18"/>
              </w:rPr>
              <w:t>/</w:t>
            </w:r>
          </w:p>
        </w:tc>
      </w:tr>
      <w:tr>
        <w:tblPrEx>
          <w:tblCellMar>
            <w:top w:w="0" w:type="dxa"/>
            <w:left w:w="108" w:type="dxa"/>
            <w:bottom w:w="0" w:type="dxa"/>
            <w:right w:w="108" w:type="dxa"/>
          </w:tblCellMar>
        </w:tblPrEx>
        <w:trPr>
          <w:trHeight w:val="232" w:hRule="atLeast"/>
        </w:trPr>
        <w:tc>
          <w:tcPr>
            <w:tcW w:w="149" w:type="pct"/>
            <w:vMerge w:val="continue"/>
            <w:tcBorders>
              <w:top w:val="nil"/>
              <w:left w:val="single" w:color="auto" w:sz="4" w:space="0"/>
              <w:bottom w:val="single" w:color="auto" w:sz="4" w:space="0"/>
              <w:right w:val="single" w:color="auto" w:sz="4" w:space="0"/>
            </w:tcBorders>
            <w:vAlign w:val="center"/>
          </w:tcPr>
          <w:p>
            <w:pPr>
              <w:widowControl/>
              <w:adjustRightInd/>
              <w:spacing w:line="220" w:lineRule="exact"/>
              <w:jc w:val="left"/>
              <w:textAlignment w:val="auto"/>
              <w:rPr>
                <w:b/>
                <w:bCs/>
                <w:sz w:val="18"/>
                <w:szCs w:val="18"/>
              </w:rPr>
            </w:pPr>
          </w:p>
        </w:tc>
        <w:tc>
          <w:tcPr>
            <w:tcW w:w="118" w:type="pct"/>
            <w:vMerge w:val="continue"/>
            <w:tcBorders>
              <w:top w:val="nil"/>
              <w:left w:val="single" w:color="auto" w:sz="4" w:space="0"/>
              <w:bottom w:val="single" w:color="auto" w:sz="4" w:space="0"/>
              <w:right w:val="single" w:color="auto" w:sz="4" w:space="0"/>
            </w:tcBorders>
            <w:vAlign w:val="center"/>
          </w:tcPr>
          <w:p>
            <w:pPr>
              <w:widowControl/>
              <w:adjustRightInd/>
              <w:spacing w:line="220" w:lineRule="exact"/>
              <w:jc w:val="left"/>
              <w:textAlignment w:val="auto"/>
              <w:rPr>
                <w:b/>
                <w:bCs/>
                <w:sz w:val="18"/>
                <w:szCs w:val="18"/>
              </w:rPr>
            </w:pPr>
          </w:p>
        </w:tc>
        <w:tc>
          <w:tcPr>
            <w:tcW w:w="342" w:type="pct"/>
            <w:gridSpan w:val="2"/>
            <w:tcBorders>
              <w:top w:val="nil"/>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氮氧化物</w:t>
            </w:r>
          </w:p>
        </w:tc>
        <w:tc>
          <w:tcPr>
            <w:tcW w:w="373" w:type="pct"/>
            <w:tcBorders>
              <w:top w:val="nil"/>
              <w:left w:val="nil"/>
              <w:bottom w:val="single" w:color="auto" w:sz="4" w:space="0"/>
              <w:right w:val="single" w:color="auto" w:sz="4" w:space="0"/>
            </w:tcBorders>
            <w:shd w:val="clear" w:color="auto" w:fill="auto"/>
            <w:noWrap/>
            <w:vAlign w:val="center"/>
          </w:tcPr>
          <w:p>
            <w:pPr>
              <w:adjustRightInd/>
              <w:spacing w:line="220" w:lineRule="exact"/>
              <w:jc w:val="center"/>
              <w:textAlignment w:val="auto"/>
              <w:rPr>
                <w:sz w:val="18"/>
                <w:szCs w:val="18"/>
              </w:rPr>
            </w:pPr>
          </w:p>
        </w:tc>
        <w:tc>
          <w:tcPr>
            <w:tcW w:w="610" w:type="pct"/>
            <w:tcBorders>
              <w:top w:val="nil"/>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sz w:val="18"/>
                <w:szCs w:val="18"/>
              </w:rPr>
            </w:pPr>
          </w:p>
        </w:tc>
        <w:tc>
          <w:tcPr>
            <w:tcW w:w="425" w:type="pct"/>
            <w:gridSpan w:val="2"/>
            <w:tcBorders>
              <w:top w:val="nil"/>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sz w:val="18"/>
                <w:szCs w:val="18"/>
              </w:rPr>
            </w:pPr>
            <w:r>
              <w:rPr>
                <w:rFonts w:hint="eastAsia"/>
                <w:sz w:val="18"/>
                <w:szCs w:val="18"/>
              </w:rPr>
              <w:t>-</w:t>
            </w:r>
          </w:p>
        </w:tc>
        <w:tc>
          <w:tcPr>
            <w:tcW w:w="480" w:type="pct"/>
            <w:gridSpan w:val="2"/>
            <w:tcBorders>
              <w:top w:val="nil"/>
              <w:left w:val="nil"/>
              <w:bottom w:val="single" w:color="auto" w:sz="4" w:space="0"/>
              <w:right w:val="single" w:color="auto" w:sz="4" w:space="0"/>
            </w:tcBorders>
            <w:shd w:val="clear" w:color="auto" w:fill="auto"/>
            <w:noWrap/>
            <w:vAlign w:val="center"/>
          </w:tcPr>
          <w:p>
            <w:pPr>
              <w:adjustRightInd/>
              <w:spacing w:line="220" w:lineRule="exact"/>
              <w:jc w:val="center"/>
              <w:textAlignment w:val="auto"/>
              <w:rPr>
                <w:sz w:val="18"/>
                <w:szCs w:val="18"/>
              </w:rPr>
            </w:pPr>
          </w:p>
        </w:tc>
        <w:tc>
          <w:tcPr>
            <w:tcW w:w="450" w:type="pct"/>
            <w:tcBorders>
              <w:top w:val="nil"/>
              <w:left w:val="nil"/>
              <w:bottom w:val="single" w:color="auto" w:sz="4" w:space="0"/>
              <w:right w:val="single" w:color="auto" w:sz="4" w:space="0"/>
            </w:tcBorders>
            <w:shd w:val="clear" w:color="auto" w:fill="auto"/>
            <w:noWrap/>
            <w:vAlign w:val="center"/>
          </w:tcPr>
          <w:p>
            <w:pPr>
              <w:widowControl/>
              <w:adjustRightInd/>
              <w:spacing w:line="220" w:lineRule="exact"/>
              <w:jc w:val="left"/>
              <w:textAlignment w:val="auto"/>
              <w:rPr>
                <w:sz w:val="18"/>
                <w:szCs w:val="18"/>
              </w:rPr>
            </w:pPr>
          </w:p>
        </w:tc>
        <w:tc>
          <w:tcPr>
            <w:tcW w:w="473" w:type="pct"/>
            <w:tcBorders>
              <w:top w:val="nil"/>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sz w:val="18"/>
                <w:szCs w:val="18"/>
              </w:rPr>
            </w:pPr>
          </w:p>
        </w:tc>
        <w:tc>
          <w:tcPr>
            <w:tcW w:w="373" w:type="pct"/>
            <w:gridSpan w:val="2"/>
            <w:tcBorders>
              <w:top w:val="nil"/>
              <w:left w:val="nil"/>
              <w:bottom w:val="single" w:color="auto" w:sz="4" w:space="0"/>
              <w:right w:val="single" w:color="auto" w:sz="4" w:space="0"/>
            </w:tcBorders>
            <w:shd w:val="clear" w:color="auto" w:fill="auto"/>
            <w:noWrap/>
            <w:vAlign w:val="center"/>
          </w:tcPr>
          <w:p>
            <w:pPr>
              <w:adjustRightInd/>
              <w:spacing w:line="220" w:lineRule="exact"/>
              <w:jc w:val="center"/>
              <w:textAlignment w:val="auto"/>
              <w:rPr>
                <w:sz w:val="18"/>
                <w:szCs w:val="18"/>
              </w:rPr>
            </w:pPr>
          </w:p>
        </w:tc>
        <w:tc>
          <w:tcPr>
            <w:tcW w:w="1207" w:type="pct"/>
            <w:gridSpan w:val="4"/>
            <w:tcBorders>
              <w:top w:val="single" w:color="auto" w:sz="4" w:space="0"/>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sz w:val="18"/>
                <w:szCs w:val="18"/>
              </w:rPr>
            </w:pPr>
            <w:r>
              <w:rPr>
                <w:sz w:val="18"/>
                <w:szCs w:val="18"/>
              </w:rPr>
              <w:t>/</w:t>
            </w:r>
          </w:p>
        </w:tc>
      </w:tr>
      <w:tr>
        <w:tblPrEx>
          <w:tblCellMar>
            <w:top w:w="0" w:type="dxa"/>
            <w:left w:w="108" w:type="dxa"/>
            <w:bottom w:w="0" w:type="dxa"/>
            <w:right w:w="108" w:type="dxa"/>
          </w:tblCellMar>
        </w:tblPrEx>
        <w:trPr>
          <w:trHeight w:val="232" w:hRule="atLeast"/>
        </w:trPr>
        <w:tc>
          <w:tcPr>
            <w:tcW w:w="149" w:type="pct"/>
            <w:vMerge w:val="continue"/>
            <w:tcBorders>
              <w:top w:val="nil"/>
              <w:left w:val="single" w:color="auto" w:sz="4" w:space="0"/>
              <w:bottom w:val="single" w:color="auto" w:sz="4" w:space="0"/>
              <w:right w:val="single" w:color="auto" w:sz="4" w:space="0"/>
            </w:tcBorders>
            <w:vAlign w:val="center"/>
          </w:tcPr>
          <w:p>
            <w:pPr>
              <w:widowControl/>
              <w:adjustRightInd/>
              <w:spacing w:line="220" w:lineRule="exact"/>
              <w:jc w:val="left"/>
              <w:textAlignment w:val="auto"/>
              <w:rPr>
                <w:b/>
                <w:bCs/>
                <w:sz w:val="18"/>
                <w:szCs w:val="18"/>
              </w:rPr>
            </w:pPr>
          </w:p>
        </w:tc>
        <w:tc>
          <w:tcPr>
            <w:tcW w:w="118" w:type="pct"/>
            <w:vMerge w:val="continue"/>
            <w:tcBorders>
              <w:top w:val="nil"/>
              <w:left w:val="single" w:color="auto" w:sz="4" w:space="0"/>
              <w:bottom w:val="single" w:color="auto" w:sz="4" w:space="0"/>
              <w:right w:val="single" w:color="auto" w:sz="4" w:space="0"/>
            </w:tcBorders>
            <w:vAlign w:val="center"/>
          </w:tcPr>
          <w:p>
            <w:pPr>
              <w:widowControl/>
              <w:adjustRightInd/>
              <w:spacing w:line="220" w:lineRule="exact"/>
              <w:jc w:val="left"/>
              <w:textAlignment w:val="auto"/>
              <w:rPr>
                <w:b/>
                <w:bCs/>
                <w:sz w:val="18"/>
                <w:szCs w:val="18"/>
              </w:rPr>
            </w:pPr>
          </w:p>
        </w:tc>
        <w:tc>
          <w:tcPr>
            <w:tcW w:w="342" w:type="pct"/>
            <w:gridSpan w:val="2"/>
            <w:tcBorders>
              <w:top w:val="nil"/>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颗粒物</w:t>
            </w:r>
          </w:p>
        </w:tc>
        <w:tc>
          <w:tcPr>
            <w:tcW w:w="373" w:type="pct"/>
            <w:tcBorders>
              <w:top w:val="nil"/>
              <w:left w:val="nil"/>
              <w:bottom w:val="single" w:color="auto" w:sz="4" w:space="0"/>
              <w:right w:val="single" w:color="auto" w:sz="4" w:space="0"/>
            </w:tcBorders>
            <w:shd w:val="clear" w:color="auto" w:fill="auto"/>
            <w:noWrap/>
            <w:vAlign w:val="center"/>
          </w:tcPr>
          <w:p>
            <w:pPr>
              <w:widowControl/>
              <w:adjustRightInd/>
              <w:spacing w:line="220" w:lineRule="exact"/>
              <w:jc w:val="left"/>
              <w:textAlignment w:val="auto"/>
              <w:rPr>
                <w:sz w:val="18"/>
                <w:szCs w:val="18"/>
              </w:rPr>
            </w:pPr>
            <w:r>
              <w:rPr>
                <w:sz w:val="18"/>
                <w:szCs w:val="18"/>
              </w:rPr>
              <w:t>　</w:t>
            </w:r>
          </w:p>
        </w:tc>
        <w:tc>
          <w:tcPr>
            <w:tcW w:w="610" w:type="pct"/>
            <w:tcBorders>
              <w:top w:val="nil"/>
              <w:left w:val="nil"/>
              <w:bottom w:val="single" w:color="auto" w:sz="4" w:space="0"/>
              <w:right w:val="single" w:color="auto" w:sz="4" w:space="0"/>
            </w:tcBorders>
            <w:shd w:val="clear" w:color="auto" w:fill="auto"/>
            <w:noWrap/>
            <w:vAlign w:val="center"/>
          </w:tcPr>
          <w:p>
            <w:pPr>
              <w:widowControl/>
              <w:adjustRightInd/>
              <w:spacing w:line="220" w:lineRule="exact"/>
              <w:jc w:val="left"/>
              <w:textAlignment w:val="auto"/>
              <w:rPr>
                <w:sz w:val="18"/>
                <w:szCs w:val="18"/>
              </w:rPr>
            </w:pPr>
            <w:r>
              <w:rPr>
                <w:sz w:val="18"/>
                <w:szCs w:val="18"/>
              </w:rPr>
              <w:t>　</w:t>
            </w:r>
          </w:p>
        </w:tc>
        <w:tc>
          <w:tcPr>
            <w:tcW w:w="425" w:type="pct"/>
            <w:gridSpan w:val="2"/>
            <w:tcBorders>
              <w:top w:val="nil"/>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sz w:val="18"/>
                <w:szCs w:val="18"/>
              </w:rPr>
            </w:pPr>
          </w:p>
        </w:tc>
        <w:tc>
          <w:tcPr>
            <w:tcW w:w="480" w:type="pct"/>
            <w:gridSpan w:val="2"/>
            <w:tcBorders>
              <w:top w:val="nil"/>
              <w:left w:val="nil"/>
              <w:bottom w:val="single" w:color="auto" w:sz="4" w:space="0"/>
              <w:right w:val="single" w:color="auto" w:sz="4" w:space="0"/>
            </w:tcBorders>
            <w:shd w:val="clear" w:color="auto" w:fill="auto"/>
            <w:noWrap/>
            <w:vAlign w:val="center"/>
          </w:tcPr>
          <w:p>
            <w:pPr>
              <w:widowControl/>
              <w:adjustRightInd/>
              <w:spacing w:line="220" w:lineRule="exact"/>
              <w:jc w:val="left"/>
              <w:textAlignment w:val="auto"/>
              <w:rPr>
                <w:sz w:val="18"/>
                <w:szCs w:val="18"/>
              </w:rPr>
            </w:pPr>
            <w:r>
              <w:rPr>
                <w:sz w:val="18"/>
                <w:szCs w:val="18"/>
              </w:rPr>
              <w:t>　</w:t>
            </w:r>
          </w:p>
        </w:tc>
        <w:tc>
          <w:tcPr>
            <w:tcW w:w="450" w:type="pct"/>
            <w:tcBorders>
              <w:top w:val="nil"/>
              <w:left w:val="nil"/>
              <w:bottom w:val="single" w:color="auto" w:sz="4" w:space="0"/>
              <w:right w:val="single" w:color="auto" w:sz="4" w:space="0"/>
            </w:tcBorders>
            <w:shd w:val="clear" w:color="auto" w:fill="auto"/>
            <w:noWrap/>
            <w:vAlign w:val="center"/>
          </w:tcPr>
          <w:p>
            <w:pPr>
              <w:widowControl/>
              <w:adjustRightInd/>
              <w:spacing w:line="220" w:lineRule="exact"/>
              <w:jc w:val="left"/>
              <w:textAlignment w:val="auto"/>
              <w:rPr>
                <w:sz w:val="18"/>
                <w:szCs w:val="18"/>
              </w:rPr>
            </w:pPr>
            <w:r>
              <w:rPr>
                <w:sz w:val="18"/>
                <w:szCs w:val="18"/>
              </w:rPr>
              <w:t>　</w:t>
            </w:r>
          </w:p>
        </w:tc>
        <w:tc>
          <w:tcPr>
            <w:tcW w:w="473" w:type="pct"/>
            <w:tcBorders>
              <w:top w:val="nil"/>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sz w:val="18"/>
                <w:szCs w:val="18"/>
              </w:rPr>
            </w:pPr>
          </w:p>
        </w:tc>
        <w:tc>
          <w:tcPr>
            <w:tcW w:w="373" w:type="pct"/>
            <w:gridSpan w:val="2"/>
            <w:tcBorders>
              <w:top w:val="nil"/>
              <w:left w:val="nil"/>
              <w:bottom w:val="single" w:color="auto" w:sz="4" w:space="0"/>
              <w:right w:val="single" w:color="auto" w:sz="4" w:space="0"/>
            </w:tcBorders>
            <w:shd w:val="clear" w:color="auto" w:fill="auto"/>
            <w:noWrap/>
            <w:vAlign w:val="center"/>
          </w:tcPr>
          <w:p>
            <w:pPr>
              <w:widowControl/>
              <w:adjustRightInd/>
              <w:spacing w:line="220" w:lineRule="exact"/>
              <w:jc w:val="left"/>
              <w:textAlignment w:val="auto"/>
              <w:rPr>
                <w:sz w:val="18"/>
                <w:szCs w:val="18"/>
              </w:rPr>
            </w:pPr>
            <w:r>
              <w:rPr>
                <w:sz w:val="18"/>
                <w:szCs w:val="18"/>
              </w:rPr>
              <w:t>　</w:t>
            </w:r>
          </w:p>
        </w:tc>
        <w:tc>
          <w:tcPr>
            <w:tcW w:w="1207" w:type="pct"/>
            <w:gridSpan w:val="4"/>
            <w:tcBorders>
              <w:top w:val="single" w:color="auto" w:sz="4" w:space="0"/>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sz w:val="18"/>
                <w:szCs w:val="18"/>
              </w:rPr>
            </w:pPr>
            <w:r>
              <w:rPr>
                <w:sz w:val="18"/>
                <w:szCs w:val="18"/>
              </w:rPr>
              <w:t>/</w:t>
            </w:r>
          </w:p>
        </w:tc>
      </w:tr>
      <w:tr>
        <w:tblPrEx>
          <w:tblCellMar>
            <w:top w:w="0" w:type="dxa"/>
            <w:left w:w="108" w:type="dxa"/>
            <w:bottom w:w="0" w:type="dxa"/>
            <w:right w:w="108" w:type="dxa"/>
          </w:tblCellMar>
        </w:tblPrEx>
        <w:trPr>
          <w:trHeight w:val="70" w:hRule="atLeast"/>
        </w:trPr>
        <w:tc>
          <w:tcPr>
            <w:tcW w:w="149" w:type="pct"/>
            <w:vMerge w:val="continue"/>
            <w:tcBorders>
              <w:top w:val="nil"/>
              <w:left w:val="single" w:color="auto" w:sz="4" w:space="0"/>
              <w:bottom w:val="single" w:color="auto" w:sz="4" w:space="0"/>
              <w:right w:val="single" w:color="auto" w:sz="4" w:space="0"/>
            </w:tcBorders>
            <w:vAlign w:val="center"/>
          </w:tcPr>
          <w:p>
            <w:pPr>
              <w:widowControl/>
              <w:adjustRightInd/>
              <w:spacing w:line="220" w:lineRule="exact"/>
              <w:jc w:val="left"/>
              <w:textAlignment w:val="auto"/>
              <w:rPr>
                <w:b/>
                <w:bCs/>
                <w:sz w:val="18"/>
                <w:szCs w:val="18"/>
              </w:rPr>
            </w:pPr>
          </w:p>
        </w:tc>
        <w:tc>
          <w:tcPr>
            <w:tcW w:w="118" w:type="pct"/>
            <w:vMerge w:val="continue"/>
            <w:tcBorders>
              <w:top w:val="nil"/>
              <w:left w:val="single" w:color="auto" w:sz="4" w:space="0"/>
              <w:bottom w:val="single" w:color="auto" w:sz="4" w:space="0"/>
              <w:right w:val="single" w:color="auto" w:sz="4" w:space="0"/>
            </w:tcBorders>
            <w:vAlign w:val="center"/>
          </w:tcPr>
          <w:p>
            <w:pPr>
              <w:widowControl/>
              <w:adjustRightInd/>
              <w:spacing w:line="220" w:lineRule="exact"/>
              <w:jc w:val="left"/>
              <w:textAlignment w:val="auto"/>
              <w:rPr>
                <w:b/>
                <w:bCs/>
                <w:sz w:val="18"/>
                <w:szCs w:val="18"/>
              </w:rPr>
            </w:pPr>
          </w:p>
        </w:tc>
        <w:tc>
          <w:tcPr>
            <w:tcW w:w="342" w:type="pct"/>
            <w:gridSpan w:val="2"/>
            <w:tcBorders>
              <w:top w:val="nil"/>
              <w:left w:val="nil"/>
              <w:bottom w:val="nil"/>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挥发性有机物</w:t>
            </w:r>
          </w:p>
        </w:tc>
        <w:tc>
          <w:tcPr>
            <w:tcW w:w="373" w:type="pct"/>
            <w:tcBorders>
              <w:top w:val="nil"/>
              <w:left w:val="nil"/>
              <w:bottom w:val="nil"/>
              <w:right w:val="single" w:color="auto" w:sz="4" w:space="0"/>
            </w:tcBorders>
            <w:shd w:val="clear" w:color="auto" w:fill="auto"/>
            <w:noWrap/>
            <w:vAlign w:val="center"/>
          </w:tcPr>
          <w:p>
            <w:pPr>
              <w:widowControl/>
              <w:adjustRightInd/>
              <w:spacing w:line="220" w:lineRule="exact"/>
              <w:jc w:val="left"/>
              <w:textAlignment w:val="auto"/>
              <w:rPr>
                <w:sz w:val="18"/>
                <w:szCs w:val="18"/>
              </w:rPr>
            </w:pPr>
            <w:r>
              <w:rPr>
                <w:sz w:val="18"/>
                <w:szCs w:val="18"/>
              </w:rPr>
              <w:t>　</w:t>
            </w:r>
          </w:p>
        </w:tc>
        <w:tc>
          <w:tcPr>
            <w:tcW w:w="610" w:type="pct"/>
            <w:tcBorders>
              <w:top w:val="nil"/>
              <w:left w:val="nil"/>
              <w:bottom w:val="nil"/>
              <w:right w:val="single" w:color="auto" w:sz="4" w:space="0"/>
            </w:tcBorders>
            <w:shd w:val="clear" w:color="auto" w:fill="auto"/>
            <w:noWrap/>
            <w:vAlign w:val="center"/>
          </w:tcPr>
          <w:p>
            <w:pPr>
              <w:widowControl/>
              <w:adjustRightInd/>
              <w:spacing w:line="220" w:lineRule="exact"/>
              <w:jc w:val="left"/>
              <w:textAlignment w:val="auto"/>
              <w:rPr>
                <w:sz w:val="18"/>
                <w:szCs w:val="18"/>
              </w:rPr>
            </w:pPr>
            <w:r>
              <w:rPr>
                <w:sz w:val="18"/>
                <w:szCs w:val="18"/>
              </w:rPr>
              <w:t>　</w:t>
            </w:r>
          </w:p>
        </w:tc>
        <w:tc>
          <w:tcPr>
            <w:tcW w:w="425" w:type="pct"/>
            <w:gridSpan w:val="2"/>
            <w:tcBorders>
              <w:top w:val="nil"/>
              <w:left w:val="nil"/>
              <w:bottom w:val="nil"/>
              <w:right w:val="single" w:color="auto" w:sz="4" w:space="0"/>
            </w:tcBorders>
            <w:shd w:val="clear" w:color="auto" w:fill="auto"/>
            <w:noWrap/>
            <w:vAlign w:val="center"/>
          </w:tcPr>
          <w:p>
            <w:pPr>
              <w:widowControl/>
              <w:adjustRightInd/>
              <w:spacing w:line="220" w:lineRule="exact"/>
              <w:jc w:val="center"/>
              <w:textAlignment w:val="auto"/>
              <w:rPr>
                <w:sz w:val="18"/>
                <w:szCs w:val="18"/>
              </w:rPr>
            </w:pPr>
          </w:p>
        </w:tc>
        <w:tc>
          <w:tcPr>
            <w:tcW w:w="480" w:type="pct"/>
            <w:gridSpan w:val="2"/>
            <w:tcBorders>
              <w:top w:val="nil"/>
              <w:left w:val="nil"/>
              <w:bottom w:val="nil"/>
              <w:right w:val="single" w:color="auto" w:sz="4" w:space="0"/>
            </w:tcBorders>
            <w:shd w:val="clear" w:color="auto" w:fill="auto"/>
            <w:noWrap/>
            <w:vAlign w:val="center"/>
          </w:tcPr>
          <w:p>
            <w:pPr>
              <w:widowControl/>
              <w:adjustRightInd/>
              <w:spacing w:line="220" w:lineRule="exact"/>
              <w:jc w:val="left"/>
              <w:textAlignment w:val="auto"/>
              <w:rPr>
                <w:sz w:val="18"/>
                <w:szCs w:val="18"/>
              </w:rPr>
            </w:pPr>
          </w:p>
        </w:tc>
        <w:tc>
          <w:tcPr>
            <w:tcW w:w="450" w:type="pct"/>
            <w:tcBorders>
              <w:top w:val="nil"/>
              <w:left w:val="nil"/>
              <w:bottom w:val="nil"/>
              <w:right w:val="single" w:color="auto" w:sz="4" w:space="0"/>
            </w:tcBorders>
            <w:shd w:val="clear" w:color="auto" w:fill="auto"/>
            <w:noWrap/>
            <w:vAlign w:val="center"/>
          </w:tcPr>
          <w:p>
            <w:pPr>
              <w:widowControl/>
              <w:adjustRightInd/>
              <w:spacing w:line="220" w:lineRule="exact"/>
              <w:jc w:val="left"/>
              <w:textAlignment w:val="auto"/>
              <w:rPr>
                <w:sz w:val="18"/>
                <w:szCs w:val="18"/>
              </w:rPr>
            </w:pPr>
          </w:p>
        </w:tc>
        <w:tc>
          <w:tcPr>
            <w:tcW w:w="473" w:type="pct"/>
            <w:tcBorders>
              <w:top w:val="nil"/>
              <w:left w:val="nil"/>
              <w:bottom w:val="nil"/>
              <w:right w:val="single" w:color="auto" w:sz="4" w:space="0"/>
            </w:tcBorders>
            <w:shd w:val="clear" w:color="auto" w:fill="auto"/>
            <w:noWrap/>
            <w:vAlign w:val="center"/>
          </w:tcPr>
          <w:p>
            <w:pPr>
              <w:widowControl/>
              <w:adjustRightInd/>
              <w:spacing w:line="220" w:lineRule="exact"/>
              <w:jc w:val="left"/>
              <w:textAlignment w:val="auto"/>
              <w:rPr>
                <w:sz w:val="18"/>
                <w:szCs w:val="18"/>
              </w:rPr>
            </w:pPr>
          </w:p>
        </w:tc>
        <w:tc>
          <w:tcPr>
            <w:tcW w:w="373" w:type="pct"/>
            <w:gridSpan w:val="2"/>
            <w:tcBorders>
              <w:top w:val="nil"/>
              <w:left w:val="nil"/>
              <w:bottom w:val="nil"/>
              <w:right w:val="single" w:color="auto" w:sz="4" w:space="0"/>
            </w:tcBorders>
            <w:shd w:val="clear" w:color="auto" w:fill="auto"/>
            <w:noWrap/>
            <w:vAlign w:val="center"/>
          </w:tcPr>
          <w:p>
            <w:pPr>
              <w:widowControl/>
              <w:adjustRightInd/>
              <w:spacing w:line="220" w:lineRule="exact"/>
              <w:jc w:val="left"/>
              <w:textAlignment w:val="auto"/>
              <w:rPr>
                <w:sz w:val="18"/>
                <w:szCs w:val="18"/>
              </w:rPr>
            </w:pPr>
          </w:p>
        </w:tc>
        <w:tc>
          <w:tcPr>
            <w:tcW w:w="1207" w:type="pct"/>
            <w:gridSpan w:val="4"/>
            <w:tcBorders>
              <w:top w:val="single" w:color="auto" w:sz="4" w:space="0"/>
              <w:left w:val="nil"/>
              <w:bottom w:val="nil"/>
              <w:right w:val="single" w:color="auto" w:sz="4" w:space="0"/>
            </w:tcBorders>
            <w:shd w:val="clear" w:color="auto" w:fill="auto"/>
            <w:vAlign w:val="center"/>
          </w:tcPr>
          <w:p>
            <w:pPr>
              <w:widowControl/>
              <w:adjustRightInd/>
              <w:spacing w:line="220" w:lineRule="exact"/>
              <w:jc w:val="center"/>
              <w:textAlignment w:val="auto"/>
              <w:rPr>
                <w:sz w:val="18"/>
                <w:szCs w:val="18"/>
              </w:rPr>
            </w:pPr>
            <w:r>
              <w:rPr>
                <w:sz w:val="18"/>
                <w:szCs w:val="18"/>
              </w:rPr>
              <w:t>/</w:t>
            </w:r>
          </w:p>
        </w:tc>
      </w:tr>
      <w:tr>
        <w:tblPrEx>
          <w:tblCellMar>
            <w:top w:w="0" w:type="dxa"/>
            <w:left w:w="108" w:type="dxa"/>
            <w:bottom w:w="0" w:type="dxa"/>
            <w:right w:w="108" w:type="dxa"/>
          </w:tblCellMar>
        </w:tblPrEx>
        <w:trPr>
          <w:trHeight w:val="312" w:hRule="atLeast"/>
        </w:trPr>
        <w:tc>
          <w:tcPr>
            <w:tcW w:w="5000" w:type="pct"/>
            <w:gridSpan w:val="18"/>
            <w:vMerge w:val="restart"/>
            <w:tcBorders>
              <w:top w:val="single" w:color="auto" w:sz="4" w:space="0"/>
              <w:left w:val="nil"/>
              <w:bottom w:val="nil"/>
              <w:right w:val="nil"/>
            </w:tcBorders>
            <w:vAlign w:val="center"/>
          </w:tcPr>
          <w:p>
            <w:pPr>
              <w:widowControl/>
              <w:adjustRightInd/>
              <w:spacing w:line="220" w:lineRule="exact"/>
              <w:jc w:val="left"/>
              <w:textAlignment w:val="auto"/>
              <w:rPr>
                <w:rFonts w:cs="宋体"/>
                <w:sz w:val="20"/>
              </w:rPr>
            </w:pPr>
            <w:r>
              <w:rPr>
                <w:sz w:val="20"/>
              </w:rPr>
              <w:t>注：1、同级经济部门审批核发的唯一项目代码</w:t>
            </w:r>
            <w:r>
              <w:rPr>
                <w:sz w:val="20"/>
              </w:rPr>
              <w:br w:type="textWrapping"/>
            </w:r>
            <w:r>
              <w:rPr>
                <w:sz w:val="20"/>
              </w:rPr>
              <w:t>2、分类依据：国民经济行业分类(GB/T 4754-2011)</w:t>
            </w:r>
            <w:r>
              <w:rPr>
                <w:sz w:val="20"/>
              </w:rPr>
              <w:br w:type="textWrapping"/>
            </w:r>
            <w:r>
              <w:rPr>
                <w:sz w:val="20"/>
              </w:rPr>
              <w:t>3、对多点项目仅提供主体工程的中心座标</w:t>
            </w:r>
            <w:r>
              <w:rPr>
                <w:sz w:val="20"/>
              </w:rPr>
              <w:br w:type="textWrapping"/>
            </w:r>
            <w:r>
              <w:rPr>
                <w:sz w:val="20"/>
              </w:rPr>
              <w:t>4、指该项目所在区域通过“区域平衡”专为本工程替代削减的量</w:t>
            </w:r>
            <w:r>
              <w:rPr>
                <w:sz w:val="20"/>
              </w:rPr>
              <w:br w:type="textWrapping"/>
            </w:r>
            <w:r>
              <w:rPr>
                <w:sz w:val="20"/>
              </w:rPr>
              <w:t>5、</w:t>
            </w:r>
            <w:r>
              <w:rPr>
                <w:rFonts w:hint="eastAsia" w:cs="宋体"/>
                <w:sz w:val="20"/>
              </w:rPr>
              <w:t>⑦</w:t>
            </w:r>
            <w:r>
              <w:rPr>
                <w:sz w:val="20"/>
              </w:rPr>
              <w:t>＝</w:t>
            </w:r>
            <w:r>
              <w:rPr>
                <w:rFonts w:hint="eastAsia" w:cs="宋体"/>
                <w:sz w:val="20"/>
              </w:rPr>
              <w:t>③</w:t>
            </w:r>
            <w:r>
              <w:rPr>
                <w:sz w:val="20"/>
              </w:rPr>
              <w:t>－</w:t>
            </w:r>
            <w:r>
              <w:rPr>
                <w:rFonts w:hint="eastAsia" w:cs="宋体"/>
                <w:sz w:val="20"/>
              </w:rPr>
              <w:t>④</w:t>
            </w:r>
            <w:r>
              <w:rPr>
                <w:sz w:val="20"/>
              </w:rPr>
              <w:t>－</w:t>
            </w:r>
            <w:r>
              <w:rPr>
                <w:rFonts w:hint="eastAsia" w:cs="宋体"/>
                <w:sz w:val="20"/>
              </w:rPr>
              <w:t>⑤</w:t>
            </w:r>
            <w:r>
              <w:rPr>
                <w:sz w:val="20"/>
              </w:rPr>
              <w:t>，</w:t>
            </w:r>
            <w:r>
              <w:rPr>
                <w:rFonts w:hint="eastAsia" w:cs="宋体"/>
                <w:sz w:val="20"/>
              </w:rPr>
              <w:t>⑥</w:t>
            </w:r>
            <w:r>
              <w:rPr>
                <w:sz w:val="20"/>
              </w:rPr>
              <w:t>＝</w:t>
            </w:r>
            <w:r>
              <w:rPr>
                <w:rFonts w:hint="eastAsia" w:cs="宋体"/>
                <w:sz w:val="20"/>
              </w:rPr>
              <w:t>②</w:t>
            </w:r>
            <w:r>
              <w:rPr>
                <w:sz w:val="20"/>
              </w:rPr>
              <w:t>－</w:t>
            </w:r>
            <w:r>
              <w:rPr>
                <w:rFonts w:hint="eastAsia" w:cs="宋体"/>
                <w:sz w:val="20"/>
              </w:rPr>
              <w:t>④</w:t>
            </w:r>
            <w:r>
              <w:rPr>
                <w:sz w:val="20"/>
              </w:rPr>
              <w:t>＋</w:t>
            </w:r>
            <w:r>
              <w:rPr>
                <w:rFonts w:hint="eastAsia" w:cs="宋体"/>
                <w:sz w:val="20"/>
              </w:rPr>
              <w:t>③</w:t>
            </w:r>
          </w:p>
          <w:p>
            <w:pPr>
              <w:widowControl/>
              <w:adjustRightInd/>
              <w:spacing w:line="220" w:lineRule="exact"/>
              <w:jc w:val="left"/>
              <w:textAlignment w:val="auto"/>
              <w:rPr>
                <w:sz w:val="18"/>
                <w:szCs w:val="18"/>
              </w:rPr>
            </w:pPr>
          </w:p>
        </w:tc>
      </w:tr>
      <w:tr>
        <w:tblPrEx>
          <w:tblCellMar>
            <w:top w:w="0" w:type="dxa"/>
            <w:left w:w="108" w:type="dxa"/>
            <w:bottom w:w="0" w:type="dxa"/>
            <w:right w:w="108" w:type="dxa"/>
          </w:tblCellMar>
        </w:tblPrEx>
        <w:trPr>
          <w:trHeight w:val="312" w:hRule="atLeast"/>
        </w:trPr>
        <w:tc>
          <w:tcPr>
            <w:tcW w:w="5000" w:type="pct"/>
            <w:gridSpan w:val="18"/>
            <w:vMerge w:val="continue"/>
            <w:tcBorders>
              <w:top w:val="single" w:color="auto" w:sz="4" w:space="0"/>
              <w:left w:val="nil"/>
              <w:bottom w:val="nil"/>
              <w:right w:val="nil"/>
            </w:tcBorders>
            <w:vAlign w:val="center"/>
          </w:tcPr>
          <w:p>
            <w:pPr>
              <w:widowControl/>
              <w:adjustRightInd/>
              <w:spacing w:line="220" w:lineRule="exact"/>
              <w:jc w:val="left"/>
              <w:textAlignment w:val="auto"/>
              <w:rPr>
                <w:sz w:val="18"/>
                <w:szCs w:val="18"/>
              </w:rPr>
            </w:pPr>
          </w:p>
        </w:tc>
      </w:tr>
      <w:tr>
        <w:tblPrEx>
          <w:tblCellMar>
            <w:top w:w="0" w:type="dxa"/>
            <w:left w:w="108" w:type="dxa"/>
            <w:bottom w:w="0" w:type="dxa"/>
            <w:right w:w="108" w:type="dxa"/>
          </w:tblCellMar>
        </w:tblPrEx>
        <w:trPr>
          <w:trHeight w:val="143" w:hRule="atLeast"/>
        </w:trPr>
        <w:tc>
          <w:tcPr>
            <w:tcW w:w="301" w:type="pct"/>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项目涉及保护区与风景名胜区的情况</w:t>
            </w:r>
          </w:p>
        </w:tc>
        <w:tc>
          <w:tcPr>
            <w:tcW w:w="681" w:type="pct"/>
            <w:gridSpan w:val="2"/>
            <w:tcBorders>
              <w:top w:val="single" w:color="auto" w:sz="4" w:space="0"/>
              <w:left w:val="nil"/>
              <w:bottom w:val="single" w:color="auto" w:sz="4" w:space="0"/>
              <w:right w:val="single" w:color="auto" w:sz="4" w:space="0"/>
              <w:tl2br w:val="single" w:color="auto" w:sz="8" w:space="0"/>
            </w:tcBorders>
            <w:shd w:val="clear" w:color="auto" w:fill="auto"/>
          </w:tcPr>
          <w:p>
            <w:pPr>
              <w:widowControl/>
              <w:adjustRightInd/>
              <w:spacing w:line="220" w:lineRule="exact"/>
              <w:jc w:val="left"/>
              <w:textAlignment w:val="auto"/>
              <w:rPr>
                <w:b/>
                <w:bCs/>
                <w:sz w:val="18"/>
                <w:szCs w:val="18"/>
              </w:rPr>
            </w:pPr>
            <w:r>
              <w:rPr>
                <w:b/>
                <w:bCs/>
                <w:sz w:val="18"/>
                <w:szCs w:val="18"/>
              </w:rPr>
              <w:t xml:space="preserve">           影响及主要措施</w:t>
            </w:r>
            <w:r>
              <w:rPr>
                <w:b/>
                <w:bCs/>
                <w:sz w:val="18"/>
                <w:szCs w:val="18"/>
              </w:rPr>
              <w:br w:type="textWrapping"/>
            </w:r>
            <w:r>
              <w:rPr>
                <w:b/>
                <w:bCs/>
                <w:sz w:val="18"/>
                <w:szCs w:val="18"/>
              </w:rPr>
              <w:t>生态保护目标</w:t>
            </w:r>
          </w:p>
        </w:tc>
        <w:tc>
          <w:tcPr>
            <w:tcW w:w="948" w:type="pct"/>
            <w:gridSpan w:val="2"/>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b/>
                <w:bCs/>
                <w:sz w:val="18"/>
                <w:szCs w:val="18"/>
              </w:rPr>
            </w:pPr>
            <w:r>
              <w:rPr>
                <w:b/>
                <w:bCs/>
                <w:sz w:val="18"/>
                <w:szCs w:val="18"/>
              </w:rPr>
              <w:t>名称</w:t>
            </w:r>
          </w:p>
        </w:tc>
        <w:tc>
          <w:tcPr>
            <w:tcW w:w="509" w:type="pct"/>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级别</w:t>
            </w:r>
          </w:p>
        </w:tc>
        <w:tc>
          <w:tcPr>
            <w:tcW w:w="508" w:type="pct"/>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主要保护对象（目标）</w:t>
            </w:r>
          </w:p>
        </w:tc>
        <w:tc>
          <w:tcPr>
            <w:tcW w:w="473" w:type="pct"/>
            <w:tcBorders>
              <w:top w:val="single" w:color="auto" w:sz="4" w:space="0"/>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工程影响情况</w:t>
            </w:r>
          </w:p>
        </w:tc>
        <w:tc>
          <w:tcPr>
            <w:tcW w:w="172" w:type="pct"/>
            <w:tcBorders>
              <w:top w:val="single" w:color="auto" w:sz="4" w:space="0"/>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是否占用</w:t>
            </w:r>
          </w:p>
        </w:tc>
        <w:tc>
          <w:tcPr>
            <w:tcW w:w="541" w:type="pct"/>
            <w:gridSpan w:val="3"/>
            <w:tcBorders>
              <w:top w:val="single" w:color="auto" w:sz="4" w:space="0"/>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占用面积（hm</w:t>
            </w:r>
            <w:r>
              <w:rPr>
                <w:b/>
                <w:bCs/>
                <w:sz w:val="18"/>
                <w:szCs w:val="18"/>
                <w:vertAlign w:val="superscript"/>
              </w:rPr>
              <w:t>2</w:t>
            </w:r>
            <w:r>
              <w:rPr>
                <w:b/>
                <w:bCs/>
                <w:sz w:val="18"/>
                <w:szCs w:val="18"/>
              </w:rPr>
              <w:t>）</w:t>
            </w:r>
          </w:p>
        </w:tc>
        <w:tc>
          <w:tcPr>
            <w:tcW w:w="867" w:type="pct"/>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20" w:lineRule="exact"/>
              <w:jc w:val="center"/>
              <w:textAlignment w:val="auto"/>
              <w:rPr>
                <w:b/>
                <w:bCs/>
                <w:sz w:val="18"/>
                <w:szCs w:val="18"/>
              </w:rPr>
            </w:pPr>
            <w:r>
              <w:rPr>
                <w:b/>
                <w:bCs/>
                <w:sz w:val="18"/>
                <w:szCs w:val="18"/>
              </w:rPr>
              <w:t>生态防护措施</w:t>
            </w:r>
          </w:p>
        </w:tc>
      </w:tr>
      <w:tr>
        <w:tblPrEx>
          <w:tblCellMar>
            <w:top w:w="0" w:type="dxa"/>
            <w:left w:w="108" w:type="dxa"/>
            <w:bottom w:w="0" w:type="dxa"/>
            <w:right w:w="108" w:type="dxa"/>
          </w:tblCellMar>
        </w:tblPrEx>
        <w:trPr>
          <w:trHeight w:val="179" w:hRule="atLeast"/>
        </w:trPr>
        <w:tc>
          <w:tcPr>
            <w:tcW w:w="301" w:type="pct"/>
            <w:gridSpan w:val="3"/>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20" w:lineRule="exact"/>
              <w:jc w:val="left"/>
              <w:textAlignment w:val="auto"/>
              <w:rPr>
                <w:b/>
                <w:bCs/>
                <w:sz w:val="18"/>
                <w:szCs w:val="18"/>
              </w:rPr>
            </w:pPr>
          </w:p>
        </w:tc>
        <w:tc>
          <w:tcPr>
            <w:tcW w:w="681" w:type="pct"/>
            <w:gridSpan w:val="2"/>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b/>
                <w:bCs/>
                <w:sz w:val="18"/>
                <w:szCs w:val="18"/>
              </w:rPr>
            </w:pPr>
            <w:r>
              <w:rPr>
                <w:b/>
                <w:bCs/>
                <w:sz w:val="18"/>
                <w:szCs w:val="18"/>
              </w:rPr>
              <w:t>自然保护区</w:t>
            </w:r>
          </w:p>
        </w:tc>
        <w:tc>
          <w:tcPr>
            <w:tcW w:w="948" w:type="pct"/>
            <w:gridSpan w:val="2"/>
            <w:tcBorders>
              <w:top w:val="single" w:color="auto" w:sz="4" w:space="0"/>
              <w:left w:val="nil"/>
              <w:bottom w:val="single" w:color="auto" w:sz="4" w:space="0"/>
              <w:right w:val="single" w:color="000000" w:sz="4" w:space="0"/>
            </w:tcBorders>
            <w:shd w:val="clear" w:color="auto" w:fill="auto"/>
            <w:noWrap/>
          </w:tcPr>
          <w:p>
            <w:pPr>
              <w:adjustRightInd/>
              <w:spacing w:line="220" w:lineRule="exact"/>
              <w:textAlignment w:val="auto"/>
              <w:rPr>
                <w:b/>
                <w:kern w:val="2"/>
                <w:sz w:val="18"/>
                <w:szCs w:val="18"/>
              </w:rPr>
            </w:pPr>
            <w:r>
              <w:rPr>
                <w:b/>
                <w:sz w:val="18"/>
                <w:szCs w:val="18"/>
              </w:rPr>
              <w:t>-</w:t>
            </w:r>
          </w:p>
        </w:tc>
        <w:tc>
          <w:tcPr>
            <w:tcW w:w="509" w:type="pct"/>
            <w:gridSpan w:val="2"/>
            <w:tcBorders>
              <w:top w:val="nil"/>
              <w:left w:val="nil"/>
              <w:bottom w:val="single" w:color="auto" w:sz="4" w:space="0"/>
              <w:right w:val="single" w:color="auto" w:sz="4" w:space="0"/>
            </w:tcBorders>
            <w:shd w:val="clear" w:color="auto" w:fill="auto"/>
            <w:noWrap/>
          </w:tcPr>
          <w:p>
            <w:pPr>
              <w:adjustRightInd/>
              <w:spacing w:line="220" w:lineRule="exact"/>
              <w:textAlignment w:val="auto"/>
              <w:rPr>
                <w:b/>
                <w:kern w:val="2"/>
                <w:sz w:val="18"/>
                <w:szCs w:val="18"/>
              </w:rPr>
            </w:pPr>
            <w:r>
              <w:rPr>
                <w:b/>
                <w:sz w:val="18"/>
                <w:szCs w:val="18"/>
              </w:rPr>
              <w:t>-</w:t>
            </w:r>
          </w:p>
        </w:tc>
        <w:tc>
          <w:tcPr>
            <w:tcW w:w="508" w:type="pct"/>
            <w:gridSpan w:val="2"/>
            <w:tcBorders>
              <w:top w:val="nil"/>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sz w:val="18"/>
                <w:szCs w:val="18"/>
              </w:rPr>
            </w:pPr>
            <w:r>
              <w:rPr>
                <w:sz w:val="18"/>
                <w:szCs w:val="18"/>
              </w:rPr>
              <w:t>　</w:t>
            </w:r>
          </w:p>
        </w:tc>
        <w:tc>
          <w:tcPr>
            <w:tcW w:w="473" w:type="pct"/>
            <w:tcBorders>
              <w:top w:val="nil"/>
              <w:left w:val="nil"/>
              <w:bottom w:val="single" w:color="auto" w:sz="4" w:space="0"/>
              <w:right w:val="single" w:color="auto" w:sz="4" w:space="0"/>
            </w:tcBorders>
            <w:shd w:val="clear" w:color="auto" w:fill="auto"/>
            <w:noWrap/>
          </w:tcPr>
          <w:p>
            <w:pPr>
              <w:adjustRightInd/>
              <w:spacing w:line="220" w:lineRule="exact"/>
              <w:textAlignment w:val="auto"/>
              <w:rPr>
                <w:kern w:val="2"/>
                <w:sz w:val="18"/>
                <w:szCs w:val="18"/>
              </w:rPr>
            </w:pPr>
            <w:r>
              <w:rPr>
                <w:sz w:val="18"/>
                <w:szCs w:val="18"/>
              </w:rPr>
              <w:t>-</w:t>
            </w:r>
          </w:p>
        </w:tc>
        <w:tc>
          <w:tcPr>
            <w:tcW w:w="172" w:type="pct"/>
            <w:tcBorders>
              <w:top w:val="nil"/>
              <w:left w:val="nil"/>
              <w:bottom w:val="single" w:color="auto" w:sz="4" w:space="0"/>
              <w:right w:val="single" w:color="auto" w:sz="4" w:space="0"/>
            </w:tcBorders>
            <w:shd w:val="clear" w:color="auto" w:fill="auto"/>
            <w:noWrap/>
          </w:tcPr>
          <w:p>
            <w:pPr>
              <w:adjustRightInd/>
              <w:spacing w:line="220" w:lineRule="exact"/>
              <w:textAlignment w:val="auto"/>
              <w:rPr>
                <w:kern w:val="2"/>
                <w:sz w:val="18"/>
                <w:szCs w:val="18"/>
              </w:rPr>
            </w:pPr>
            <w:r>
              <w:rPr>
                <w:sz w:val="18"/>
                <w:szCs w:val="18"/>
              </w:rPr>
              <w:t>-</w:t>
            </w:r>
          </w:p>
        </w:tc>
        <w:tc>
          <w:tcPr>
            <w:tcW w:w="541" w:type="pct"/>
            <w:gridSpan w:val="3"/>
            <w:tcBorders>
              <w:top w:val="nil"/>
              <w:left w:val="nil"/>
              <w:bottom w:val="single" w:color="auto" w:sz="4" w:space="0"/>
              <w:right w:val="single" w:color="auto" w:sz="4" w:space="0"/>
            </w:tcBorders>
            <w:shd w:val="clear" w:color="auto" w:fill="auto"/>
            <w:noWrap/>
          </w:tcPr>
          <w:p>
            <w:pPr>
              <w:adjustRightInd/>
              <w:spacing w:line="220" w:lineRule="exact"/>
              <w:textAlignment w:val="auto"/>
              <w:rPr>
                <w:kern w:val="2"/>
                <w:sz w:val="18"/>
                <w:szCs w:val="18"/>
              </w:rPr>
            </w:pPr>
            <w:r>
              <w:rPr>
                <w:sz w:val="18"/>
                <w:szCs w:val="18"/>
              </w:rPr>
              <w:t>-</w:t>
            </w:r>
          </w:p>
        </w:tc>
        <w:tc>
          <w:tcPr>
            <w:tcW w:w="867" w:type="pct"/>
            <w:gridSpan w:val="2"/>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sz w:val="18"/>
                <w:szCs w:val="18"/>
              </w:rPr>
            </w:pPr>
            <w:r>
              <w:rPr>
                <w:sz w:val="18"/>
                <w:szCs w:val="18"/>
              </w:rPr>
              <w:t>*避让*减缓*补偿*重建（多选）</w:t>
            </w:r>
          </w:p>
        </w:tc>
      </w:tr>
      <w:tr>
        <w:tblPrEx>
          <w:tblCellMar>
            <w:top w:w="0" w:type="dxa"/>
            <w:left w:w="108" w:type="dxa"/>
            <w:bottom w:w="0" w:type="dxa"/>
            <w:right w:w="108" w:type="dxa"/>
          </w:tblCellMar>
        </w:tblPrEx>
        <w:trPr>
          <w:trHeight w:val="70" w:hRule="atLeast"/>
        </w:trPr>
        <w:tc>
          <w:tcPr>
            <w:tcW w:w="301" w:type="pct"/>
            <w:gridSpan w:val="3"/>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20" w:lineRule="exact"/>
              <w:jc w:val="left"/>
              <w:textAlignment w:val="auto"/>
              <w:rPr>
                <w:b/>
                <w:bCs/>
                <w:sz w:val="18"/>
                <w:szCs w:val="18"/>
              </w:rPr>
            </w:pPr>
          </w:p>
        </w:tc>
        <w:tc>
          <w:tcPr>
            <w:tcW w:w="681" w:type="pct"/>
            <w:gridSpan w:val="2"/>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b/>
                <w:bCs/>
                <w:sz w:val="18"/>
                <w:szCs w:val="18"/>
              </w:rPr>
            </w:pPr>
            <w:r>
              <w:rPr>
                <w:b/>
                <w:bCs/>
                <w:sz w:val="18"/>
                <w:szCs w:val="18"/>
              </w:rPr>
              <w:t>饮用水水源保护区（地表）</w:t>
            </w:r>
          </w:p>
        </w:tc>
        <w:tc>
          <w:tcPr>
            <w:tcW w:w="948" w:type="pct"/>
            <w:gridSpan w:val="2"/>
            <w:tcBorders>
              <w:top w:val="single" w:color="auto" w:sz="4" w:space="0"/>
              <w:left w:val="nil"/>
              <w:bottom w:val="single" w:color="auto" w:sz="4" w:space="0"/>
              <w:right w:val="single" w:color="000000" w:sz="4" w:space="0"/>
            </w:tcBorders>
            <w:shd w:val="clear" w:color="auto" w:fill="auto"/>
            <w:noWrap/>
          </w:tcPr>
          <w:p>
            <w:pPr>
              <w:adjustRightInd/>
              <w:spacing w:line="220" w:lineRule="exact"/>
              <w:textAlignment w:val="auto"/>
              <w:rPr>
                <w:b/>
                <w:kern w:val="2"/>
                <w:sz w:val="18"/>
                <w:szCs w:val="18"/>
              </w:rPr>
            </w:pPr>
            <w:r>
              <w:rPr>
                <w:b/>
                <w:sz w:val="18"/>
                <w:szCs w:val="18"/>
              </w:rPr>
              <w:t>-</w:t>
            </w:r>
          </w:p>
        </w:tc>
        <w:tc>
          <w:tcPr>
            <w:tcW w:w="509" w:type="pct"/>
            <w:gridSpan w:val="2"/>
            <w:tcBorders>
              <w:top w:val="nil"/>
              <w:left w:val="nil"/>
              <w:bottom w:val="single" w:color="auto" w:sz="4" w:space="0"/>
              <w:right w:val="single" w:color="auto" w:sz="4" w:space="0"/>
            </w:tcBorders>
            <w:shd w:val="clear" w:color="auto" w:fill="auto"/>
            <w:noWrap/>
          </w:tcPr>
          <w:p>
            <w:pPr>
              <w:adjustRightInd/>
              <w:spacing w:line="220" w:lineRule="exact"/>
              <w:textAlignment w:val="auto"/>
              <w:rPr>
                <w:b/>
                <w:kern w:val="2"/>
                <w:sz w:val="18"/>
                <w:szCs w:val="18"/>
              </w:rPr>
            </w:pPr>
            <w:r>
              <w:rPr>
                <w:b/>
                <w:sz w:val="18"/>
                <w:szCs w:val="18"/>
              </w:rPr>
              <w:t>-</w:t>
            </w:r>
          </w:p>
        </w:tc>
        <w:tc>
          <w:tcPr>
            <w:tcW w:w="508" w:type="pct"/>
            <w:gridSpan w:val="2"/>
            <w:tcBorders>
              <w:top w:val="nil"/>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sz w:val="18"/>
                <w:szCs w:val="18"/>
              </w:rPr>
            </w:pPr>
            <w:r>
              <w:rPr>
                <w:sz w:val="18"/>
                <w:szCs w:val="18"/>
              </w:rPr>
              <w:t>/</w:t>
            </w:r>
          </w:p>
        </w:tc>
        <w:tc>
          <w:tcPr>
            <w:tcW w:w="473" w:type="pct"/>
            <w:tcBorders>
              <w:top w:val="nil"/>
              <w:left w:val="nil"/>
              <w:bottom w:val="single" w:color="auto" w:sz="4" w:space="0"/>
              <w:right w:val="single" w:color="auto" w:sz="4" w:space="0"/>
            </w:tcBorders>
            <w:shd w:val="clear" w:color="auto" w:fill="auto"/>
            <w:noWrap/>
          </w:tcPr>
          <w:p>
            <w:pPr>
              <w:adjustRightInd/>
              <w:spacing w:line="220" w:lineRule="exact"/>
              <w:textAlignment w:val="auto"/>
              <w:rPr>
                <w:kern w:val="2"/>
                <w:sz w:val="18"/>
                <w:szCs w:val="18"/>
              </w:rPr>
            </w:pPr>
            <w:r>
              <w:rPr>
                <w:sz w:val="18"/>
                <w:szCs w:val="18"/>
              </w:rPr>
              <w:t>-</w:t>
            </w:r>
          </w:p>
        </w:tc>
        <w:tc>
          <w:tcPr>
            <w:tcW w:w="172" w:type="pct"/>
            <w:tcBorders>
              <w:top w:val="nil"/>
              <w:left w:val="nil"/>
              <w:bottom w:val="single" w:color="auto" w:sz="4" w:space="0"/>
              <w:right w:val="single" w:color="auto" w:sz="4" w:space="0"/>
            </w:tcBorders>
            <w:shd w:val="clear" w:color="auto" w:fill="auto"/>
            <w:noWrap/>
          </w:tcPr>
          <w:p>
            <w:pPr>
              <w:adjustRightInd/>
              <w:spacing w:line="220" w:lineRule="exact"/>
              <w:textAlignment w:val="auto"/>
              <w:rPr>
                <w:kern w:val="2"/>
                <w:sz w:val="18"/>
                <w:szCs w:val="18"/>
              </w:rPr>
            </w:pPr>
            <w:r>
              <w:rPr>
                <w:sz w:val="18"/>
                <w:szCs w:val="18"/>
              </w:rPr>
              <w:t>-</w:t>
            </w:r>
          </w:p>
        </w:tc>
        <w:tc>
          <w:tcPr>
            <w:tcW w:w="541" w:type="pct"/>
            <w:gridSpan w:val="3"/>
            <w:tcBorders>
              <w:top w:val="nil"/>
              <w:left w:val="nil"/>
              <w:bottom w:val="single" w:color="auto" w:sz="4" w:space="0"/>
              <w:right w:val="single" w:color="auto" w:sz="4" w:space="0"/>
            </w:tcBorders>
            <w:shd w:val="clear" w:color="auto" w:fill="auto"/>
            <w:noWrap/>
          </w:tcPr>
          <w:p>
            <w:pPr>
              <w:adjustRightInd/>
              <w:spacing w:line="220" w:lineRule="exact"/>
              <w:textAlignment w:val="auto"/>
              <w:rPr>
                <w:kern w:val="2"/>
                <w:sz w:val="18"/>
                <w:szCs w:val="18"/>
              </w:rPr>
            </w:pPr>
            <w:r>
              <w:rPr>
                <w:sz w:val="18"/>
                <w:szCs w:val="18"/>
              </w:rPr>
              <w:t>-</w:t>
            </w:r>
          </w:p>
        </w:tc>
        <w:tc>
          <w:tcPr>
            <w:tcW w:w="867" w:type="pct"/>
            <w:gridSpan w:val="2"/>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sz w:val="18"/>
                <w:szCs w:val="18"/>
              </w:rPr>
            </w:pPr>
            <w:r>
              <w:rPr>
                <w:sz w:val="18"/>
                <w:szCs w:val="18"/>
              </w:rPr>
              <w:t>*避让*减缓*补偿*重建（多选）</w:t>
            </w:r>
          </w:p>
        </w:tc>
      </w:tr>
      <w:tr>
        <w:tblPrEx>
          <w:tblCellMar>
            <w:top w:w="0" w:type="dxa"/>
            <w:left w:w="108" w:type="dxa"/>
            <w:bottom w:w="0" w:type="dxa"/>
            <w:right w:w="108" w:type="dxa"/>
          </w:tblCellMar>
        </w:tblPrEx>
        <w:trPr>
          <w:trHeight w:val="173" w:hRule="atLeast"/>
        </w:trPr>
        <w:tc>
          <w:tcPr>
            <w:tcW w:w="301" w:type="pct"/>
            <w:gridSpan w:val="3"/>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20" w:lineRule="exact"/>
              <w:jc w:val="left"/>
              <w:textAlignment w:val="auto"/>
              <w:rPr>
                <w:b/>
                <w:bCs/>
                <w:sz w:val="18"/>
                <w:szCs w:val="18"/>
              </w:rPr>
            </w:pPr>
          </w:p>
        </w:tc>
        <w:tc>
          <w:tcPr>
            <w:tcW w:w="681" w:type="pct"/>
            <w:gridSpan w:val="2"/>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b/>
                <w:bCs/>
                <w:sz w:val="18"/>
                <w:szCs w:val="18"/>
              </w:rPr>
            </w:pPr>
            <w:r>
              <w:rPr>
                <w:b/>
                <w:bCs/>
                <w:sz w:val="18"/>
                <w:szCs w:val="18"/>
              </w:rPr>
              <w:t>饮用水水源保护区（地下）</w:t>
            </w:r>
          </w:p>
        </w:tc>
        <w:tc>
          <w:tcPr>
            <w:tcW w:w="948" w:type="pct"/>
            <w:gridSpan w:val="2"/>
            <w:tcBorders>
              <w:top w:val="single" w:color="auto" w:sz="4" w:space="0"/>
              <w:left w:val="nil"/>
              <w:bottom w:val="single" w:color="auto" w:sz="4" w:space="0"/>
              <w:right w:val="single" w:color="000000" w:sz="4" w:space="0"/>
            </w:tcBorders>
            <w:shd w:val="clear" w:color="auto" w:fill="auto"/>
            <w:noWrap/>
          </w:tcPr>
          <w:p>
            <w:pPr>
              <w:adjustRightInd/>
              <w:spacing w:line="220" w:lineRule="exact"/>
              <w:textAlignment w:val="auto"/>
              <w:rPr>
                <w:b/>
                <w:kern w:val="2"/>
              </w:rPr>
            </w:pPr>
            <w:r>
              <w:rPr>
                <w:b/>
                <w:sz w:val="24"/>
                <w:szCs w:val="24"/>
              </w:rPr>
              <w:t>-</w:t>
            </w:r>
          </w:p>
        </w:tc>
        <w:tc>
          <w:tcPr>
            <w:tcW w:w="509" w:type="pct"/>
            <w:gridSpan w:val="2"/>
            <w:tcBorders>
              <w:top w:val="nil"/>
              <w:left w:val="nil"/>
              <w:bottom w:val="single" w:color="auto" w:sz="4" w:space="0"/>
              <w:right w:val="single" w:color="auto" w:sz="4" w:space="0"/>
            </w:tcBorders>
            <w:shd w:val="clear" w:color="auto" w:fill="auto"/>
            <w:noWrap/>
          </w:tcPr>
          <w:p>
            <w:pPr>
              <w:adjustRightInd/>
              <w:spacing w:line="220" w:lineRule="exact"/>
              <w:textAlignment w:val="auto"/>
              <w:rPr>
                <w:b/>
                <w:kern w:val="2"/>
              </w:rPr>
            </w:pPr>
            <w:r>
              <w:rPr>
                <w:b/>
                <w:sz w:val="24"/>
                <w:szCs w:val="24"/>
              </w:rPr>
              <w:t>-</w:t>
            </w:r>
          </w:p>
        </w:tc>
        <w:tc>
          <w:tcPr>
            <w:tcW w:w="508" w:type="pct"/>
            <w:gridSpan w:val="2"/>
            <w:tcBorders>
              <w:top w:val="nil"/>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sz w:val="18"/>
                <w:szCs w:val="18"/>
              </w:rPr>
            </w:pPr>
            <w:r>
              <w:rPr>
                <w:sz w:val="18"/>
                <w:szCs w:val="18"/>
              </w:rPr>
              <w:t>/</w:t>
            </w:r>
          </w:p>
        </w:tc>
        <w:tc>
          <w:tcPr>
            <w:tcW w:w="473" w:type="pct"/>
            <w:tcBorders>
              <w:top w:val="nil"/>
              <w:left w:val="nil"/>
              <w:bottom w:val="single" w:color="auto" w:sz="4" w:space="0"/>
              <w:right w:val="single" w:color="auto" w:sz="4" w:space="0"/>
            </w:tcBorders>
            <w:shd w:val="clear" w:color="auto" w:fill="auto"/>
            <w:noWrap/>
          </w:tcPr>
          <w:p>
            <w:pPr>
              <w:adjustRightInd/>
              <w:spacing w:line="220" w:lineRule="exact"/>
              <w:textAlignment w:val="auto"/>
              <w:rPr>
                <w:kern w:val="2"/>
              </w:rPr>
            </w:pPr>
            <w:r>
              <w:rPr>
                <w:sz w:val="24"/>
                <w:szCs w:val="24"/>
              </w:rPr>
              <w:t>-</w:t>
            </w:r>
          </w:p>
        </w:tc>
        <w:tc>
          <w:tcPr>
            <w:tcW w:w="172" w:type="pct"/>
            <w:tcBorders>
              <w:top w:val="nil"/>
              <w:left w:val="nil"/>
              <w:bottom w:val="single" w:color="auto" w:sz="4" w:space="0"/>
              <w:right w:val="single" w:color="auto" w:sz="4" w:space="0"/>
            </w:tcBorders>
            <w:shd w:val="clear" w:color="auto" w:fill="auto"/>
            <w:noWrap/>
          </w:tcPr>
          <w:p>
            <w:pPr>
              <w:adjustRightInd/>
              <w:spacing w:line="220" w:lineRule="exact"/>
              <w:textAlignment w:val="auto"/>
              <w:rPr>
                <w:kern w:val="2"/>
              </w:rPr>
            </w:pPr>
            <w:r>
              <w:rPr>
                <w:sz w:val="24"/>
                <w:szCs w:val="24"/>
              </w:rPr>
              <w:t>-</w:t>
            </w:r>
          </w:p>
        </w:tc>
        <w:tc>
          <w:tcPr>
            <w:tcW w:w="541" w:type="pct"/>
            <w:gridSpan w:val="3"/>
            <w:tcBorders>
              <w:top w:val="nil"/>
              <w:left w:val="nil"/>
              <w:bottom w:val="single" w:color="auto" w:sz="4" w:space="0"/>
              <w:right w:val="single" w:color="auto" w:sz="4" w:space="0"/>
            </w:tcBorders>
            <w:shd w:val="clear" w:color="auto" w:fill="auto"/>
            <w:noWrap/>
          </w:tcPr>
          <w:p>
            <w:pPr>
              <w:adjustRightInd/>
              <w:spacing w:line="220" w:lineRule="exact"/>
              <w:textAlignment w:val="auto"/>
              <w:rPr>
                <w:kern w:val="2"/>
              </w:rPr>
            </w:pPr>
            <w:r>
              <w:rPr>
                <w:sz w:val="24"/>
                <w:szCs w:val="24"/>
              </w:rPr>
              <w:t>-</w:t>
            </w:r>
          </w:p>
        </w:tc>
        <w:tc>
          <w:tcPr>
            <w:tcW w:w="867" w:type="pct"/>
            <w:gridSpan w:val="2"/>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sz w:val="18"/>
                <w:szCs w:val="18"/>
              </w:rPr>
            </w:pPr>
            <w:r>
              <w:rPr>
                <w:sz w:val="24"/>
                <w:szCs w:val="24"/>
              </w:rPr>
              <w:t>*</w:t>
            </w:r>
            <w:r>
              <w:rPr>
                <w:sz w:val="18"/>
                <w:szCs w:val="18"/>
              </w:rPr>
              <w:t>避让</w:t>
            </w:r>
            <w:r>
              <w:rPr>
                <w:sz w:val="24"/>
                <w:szCs w:val="24"/>
              </w:rPr>
              <w:t>*</w:t>
            </w:r>
            <w:r>
              <w:rPr>
                <w:sz w:val="18"/>
                <w:szCs w:val="18"/>
              </w:rPr>
              <w:t>减缓</w:t>
            </w:r>
            <w:r>
              <w:rPr>
                <w:sz w:val="24"/>
                <w:szCs w:val="24"/>
              </w:rPr>
              <w:t>*</w:t>
            </w:r>
            <w:r>
              <w:rPr>
                <w:sz w:val="18"/>
                <w:szCs w:val="18"/>
              </w:rPr>
              <w:t>补偿</w:t>
            </w:r>
            <w:r>
              <w:rPr>
                <w:sz w:val="24"/>
                <w:szCs w:val="24"/>
              </w:rPr>
              <w:t>*</w:t>
            </w:r>
            <w:r>
              <w:rPr>
                <w:sz w:val="18"/>
                <w:szCs w:val="18"/>
              </w:rPr>
              <w:t>重建（多选）</w:t>
            </w:r>
          </w:p>
        </w:tc>
      </w:tr>
      <w:tr>
        <w:tblPrEx>
          <w:tblCellMar>
            <w:top w:w="0" w:type="dxa"/>
            <w:left w:w="108" w:type="dxa"/>
            <w:bottom w:w="0" w:type="dxa"/>
            <w:right w:w="108" w:type="dxa"/>
          </w:tblCellMar>
        </w:tblPrEx>
        <w:trPr>
          <w:trHeight w:val="132" w:hRule="atLeast"/>
        </w:trPr>
        <w:tc>
          <w:tcPr>
            <w:tcW w:w="301" w:type="pct"/>
            <w:gridSpan w:val="3"/>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20" w:lineRule="exact"/>
              <w:jc w:val="left"/>
              <w:textAlignment w:val="auto"/>
              <w:rPr>
                <w:b/>
                <w:bCs/>
                <w:sz w:val="18"/>
                <w:szCs w:val="18"/>
              </w:rPr>
            </w:pPr>
          </w:p>
        </w:tc>
        <w:tc>
          <w:tcPr>
            <w:tcW w:w="681" w:type="pct"/>
            <w:gridSpan w:val="2"/>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b/>
                <w:bCs/>
                <w:sz w:val="18"/>
                <w:szCs w:val="18"/>
              </w:rPr>
            </w:pPr>
            <w:r>
              <w:rPr>
                <w:b/>
                <w:bCs/>
                <w:sz w:val="18"/>
                <w:szCs w:val="18"/>
              </w:rPr>
              <w:t>风景名胜区</w:t>
            </w:r>
          </w:p>
        </w:tc>
        <w:tc>
          <w:tcPr>
            <w:tcW w:w="948" w:type="pct"/>
            <w:gridSpan w:val="2"/>
            <w:tcBorders>
              <w:top w:val="single" w:color="auto" w:sz="4" w:space="0"/>
              <w:left w:val="nil"/>
              <w:bottom w:val="single" w:color="auto" w:sz="4" w:space="0"/>
              <w:right w:val="single" w:color="000000" w:sz="4" w:space="0"/>
            </w:tcBorders>
            <w:shd w:val="clear" w:color="auto" w:fill="auto"/>
            <w:noWrap/>
          </w:tcPr>
          <w:p>
            <w:pPr>
              <w:adjustRightInd/>
              <w:spacing w:line="220" w:lineRule="exact"/>
              <w:textAlignment w:val="auto"/>
              <w:rPr>
                <w:b/>
                <w:kern w:val="2"/>
              </w:rPr>
            </w:pPr>
            <w:r>
              <w:rPr>
                <w:b/>
                <w:sz w:val="24"/>
                <w:szCs w:val="24"/>
              </w:rPr>
              <w:t>-</w:t>
            </w:r>
          </w:p>
        </w:tc>
        <w:tc>
          <w:tcPr>
            <w:tcW w:w="509" w:type="pct"/>
            <w:gridSpan w:val="2"/>
            <w:tcBorders>
              <w:top w:val="nil"/>
              <w:left w:val="nil"/>
              <w:bottom w:val="single" w:color="auto" w:sz="4" w:space="0"/>
              <w:right w:val="single" w:color="auto" w:sz="4" w:space="0"/>
            </w:tcBorders>
            <w:shd w:val="clear" w:color="auto" w:fill="auto"/>
            <w:noWrap/>
          </w:tcPr>
          <w:p>
            <w:pPr>
              <w:adjustRightInd/>
              <w:spacing w:line="220" w:lineRule="exact"/>
              <w:textAlignment w:val="auto"/>
              <w:rPr>
                <w:b/>
                <w:kern w:val="2"/>
              </w:rPr>
            </w:pPr>
            <w:r>
              <w:rPr>
                <w:b/>
                <w:sz w:val="24"/>
                <w:szCs w:val="24"/>
              </w:rPr>
              <w:t>-</w:t>
            </w:r>
          </w:p>
        </w:tc>
        <w:tc>
          <w:tcPr>
            <w:tcW w:w="508" w:type="pct"/>
            <w:gridSpan w:val="2"/>
            <w:tcBorders>
              <w:top w:val="nil"/>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sz w:val="18"/>
                <w:szCs w:val="18"/>
              </w:rPr>
            </w:pPr>
            <w:r>
              <w:rPr>
                <w:sz w:val="18"/>
                <w:szCs w:val="18"/>
              </w:rPr>
              <w:t>/</w:t>
            </w:r>
          </w:p>
        </w:tc>
        <w:tc>
          <w:tcPr>
            <w:tcW w:w="473" w:type="pct"/>
            <w:tcBorders>
              <w:top w:val="nil"/>
              <w:left w:val="nil"/>
              <w:bottom w:val="single" w:color="auto" w:sz="4" w:space="0"/>
              <w:right w:val="single" w:color="auto" w:sz="4" w:space="0"/>
            </w:tcBorders>
            <w:shd w:val="clear" w:color="auto" w:fill="auto"/>
            <w:noWrap/>
          </w:tcPr>
          <w:p>
            <w:pPr>
              <w:adjustRightInd/>
              <w:spacing w:line="220" w:lineRule="exact"/>
              <w:textAlignment w:val="auto"/>
              <w:rPr>
                <w:kern w:val="2"/>
              </w:rPr>
            </w:pPr>
            <w:r>
              <w:rPr>
                <w:sz w:val="24"/>
                <w:szCs w:val="24"/>
              </w:rPr>
              <w:t>-</w:t>
            </w:r>
          </w:p>
        </w:tc>
        <w:tc>
          <w:tcPr>
            <w:tcW w:w="172" w:type="pct"/>
            <w:tcBorders>
              <w:top w:val="nil"/>
              <w:left w:val="nil"/>
              <w:bottom w:val="single" w:color="auto" w:sz="4" w:space="0"/>
              <w:right w:val="single" w:color="auto" w:sz="4" w:space="0"/>
            </w:tcBorders>
            <w:shd w:val="clear" w:color="auto" w:fill="auto"/>
            <w:noWrap/>
          </w:tcPr>
          <w:p>
            <w:pPr>
              <w:adjustRightInd/>
              <w:spacing w:line="220" w:lineRule="exact"/>
              <w:textAlignment w:val="auto"/>
              <w:rPr>
                <w:kern w:val="2"/>
              </w:rPr>
            </w:pPr>
            <w:r>
              <w:rPr>
                <w:sz w:val="24"/>
                <w:szCs w:val="24"/>
              </w:rPr>
              <w:t>-</w:t>
            </w:r>
          </w:p>
        </w:tc>
        <w:tc>
          <w:tcPr>
            <w:tcW w:w="541" w:type="pct"/>
            <w:gridSpan w:val="3"/>
            <w:tcBorders>
              <w:top w:val="nil"/>
              <w:left w:val="nil"/>
              <w:bottom w:val="single" w:color="auto" w:sz="4" w:space="0"/>
              <w:right w:val="single" w:color="auto" w:sz="4" w:space="0"/>
            </w:tcBorders>
            <w:shd w:val="clear" w:color="auto" w:fill="auto"/>
            <w:noWrap/>
          </w:tcPr>
          <w:p>
            <w:pPr>
              <w:adjustRightInd/>
              <w:spacing w:line="220" w:lineRule="exact"/>
              <w:textAlignment w:val="auto"/>
              <w:rPr>
                <w:kern w:val="2"/>
              </w:rPr>
            </w:pPr>
            <w:r>
              <w:rPr>
                <w:sz w:val="24"/>
                <w:szCs w:val="24"/>
              </w:rPr>
              <w:t>-</w:t>
            </w:r>
          </w:p>
        </w:tc>
        <w:tc>
          <w:tcPr>
            <w:tcW w:w="867" w:type="pct"/>
            <w:gridSpan w:val="2"/>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20" w:lineRule="exact"/>
              <w:jc w:val="center"/>
              <w:textAlignment w:val="auto"/>
              <w:rPr>
                <w:sz w:val="18"/>
                <w:szCs w:val="18"/>
              </w:rPr>
            </w:pPr>
            <w:r>
              <w:rPr>
                <w:sz w:val="24"/>
                <w:szCs w:val="24"/>
              </w:rPr>
              <w:t>*</w:t>
            </w:r>
            <w:r>
              <w:rPr>
                <w:sz w:val="18"/>
                <w:szCs w:val="18"/>
              </w:rPr>
              <w:t>避让</w:t>
            </w:r>
            <w:r>
              <w:rPr>
                <w:sz w:val="24"/>
                <w:szCs w:val="24"/>
              </w:rPr>
              <w:t>*</w:t>
            </w:r>
            <w:r>
              <w:rPr>
                <w:sz w:val="18"/>
                <w:szCs w:val="18"/>
              </w:rPr>
              <w:t>减缓</w:t>
            </w:r>
            <w:r>
              <w:rPr>
                <w:sz w:val="24"/>
                <w:szCs w:val="24"/>
              </w:rPr>
              <w:t>*</w:t>
            </w:r>
            <w:r>
              <w:rPr>
                <w:sz w:val="18"/>
                <w:szCs w:val="18"/>
              </w:rPr>
              <w:t>补偿</w:t>
            </w:r>
            <w:r>
              <w:rPr>
                <w:sz w:val="24"/>
                <w:szCs w:val="24"/>
              </w:rPr>
              <w:t>*</w:t>
            </w:r>
            <w:r>
              <w:rPr>
                <w:sz w:val="18"/>
                <w:szCs w:val="18"/>
              </w:rPr>
              <w:t>重建（多选）</w:t>
            </w:r>
          </w:p>
        </w:tc>
      </w:tr>
    </w:tbl>
    <w:p>
      <w:pPr>
        <w:spacing w:line="360" w:lineRule="auto"/>
        <w:rPr>
          <w:b/>
          <w:sz w:val="24"/>
          <w:szCs w:val="24"/>
        </w:rPr>
      </w:pPr>
    </w:p>
    <w:sectPr>
      <w:pgSz w:w="23811" w:h="16838" w:orient="landscape"/>
      <w:pgMar w:top="1797" w:right="1440" w:bottom="1797"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华文中宋">
    <w:altName w:val="宋体"/>
    <w:panose1 w:val="02010600040101010101"/>
    <w:charset w:val="86"/>
    <w:family w:val="auto"/>
    <w:pitch w:val="default"/>
    <w:sig w:usb0="00000000" w:usb1="00000000" w:usb2="00000010" w:usb3="00000000" w:csb0="0004009F" w:csb1="00000000"/>
  </w:font>
  <w:font w:name="TimesNewRomanPSMT">
    <w:altName w:val="Times New Roman"/>
    <w:panose1 w:val="00000000000000000000"/>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宋体e眠副浡渀.">
    <w:altName w:val="宋体"/>
    <w:panose1 w:val="00000000000000000000"/>
    <w:charset w:val="86"/>
    <w:family w:val="roman"/>
    <w:pitch w:val="default"/>
    <w:sig w:usb0="00000000" w:usb1="00000000" w:usb2="00000010" w:usb3="00000000" w:csb0="00040000" w:csb1="00000000"/>
  </w:font>
  <w:font w:name="Wingdings-Regular">
    <w:altName w:val="Microsoft JhengHei"/>
    <w:panose1 w:val="00000000000000000000"/>
    <w:charset w:val="88"/>
    <w:family w:val="auto"/>
    <w:pitch w:val="default"/>
    <w:sig w:usb0="00000000" w:usb1="00000000" w:usb2="00000010" w:usb3="00000000" w:csb0="0010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14935" cy="198120"/>
              <wp:effectExtent l="0" t="3810" r="635" b="0"/>
              <wp:wrapNone/>
              <wp:docPr id="8" name="Text Box 1"/>
              <wp:cNvGraphicFramePr/>
              <a:graphic xmlns:a="http://schemas.openxmlformats.org/drawingml/2006/main">
                <a:graphicData uri="http://schemas.microsoft.com/office/word/2010/wordprocessingShape">
                  <wps:wsp>
                    <wps:cNvSpPr txBox="1">
                      <a:spLocks noChangeArrowheads="1"/>
                    </wps:cNvSpPr>
                    <wps:spPr bwMode="auto">
                      <a:xfrm>
                        <a:off x="0" y="0"/>
                        <a:ext cx="114935" cy="198120"/>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36</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Text Box 1" o:spid="_x0000_s1026" o:spt="202" type="#_x0000_t202" style="position:absolute;left:0pt;margin-top:0pt;height:15.6pt;width:9.05pt;mso-position-horizontal:center;mso-position-horizontal-relative:margin;mso-wrap-style:none;z-index:251658240;mso-width-relative:page;mso-height-relative:page;" filled="f" stroked="f" coordsize="21600,21600" o:gfxdata="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CHQSY3QAAAAAwEAAA8AAAAAAAAAAQAg&#10;AAAAIgAAAGRycy9kb3ducmV2LnhtbFBLAQIUABQAAAAIAIdO4kDzNhJW3QEAALMDAAAOAAAAAAAA&#10;AAEAIAAAAB8BAABkcnMvZTJvRG9jLnhtbFBLBQYAAAAABgAGAFkBAABuBQ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36</w:t>
                    </w:r>
                    <w:r>
                      <w:rPr>
                        <w:rFonts w:hint="eastAsia"/>
                        <w:sz w:val="18"/>
                      </w:rPr>
                      <w:fldChar w:fldCharType="end"/>
                    </w:r>
                  </w:p>
                </w:txbxContent>
              </v:textbox>
            </v:shape>
          </w:pict>
        </mc:Fallback>
      </mc:AlternateContent>
    </w:r>
  </w:p>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98120"/>
              <wp:effectExtent l="0" t="3810" r="635" b="0"/>
              <wp:wrapNone/>
              <wp:docPr id="2" name="Text Box 1"/>
              <wp:cNvGraphicFramePr/>
              <a:graphic xmlns:a="http://schemas.openxmlformats.org/drawingml/2006/main">
                <a:graphicData uri="http://schemas.microsoft.com/office/word/2010/wordprocessingShape">
                  <wps:wsp>
                    <wps:cNvSpPr txBox="1">
                      <a:spLocks noChangeArrowheads="1"/>
                    </wps:cNvSpPr>
                    <wps:spPr bwMode="auto">
                      <a:xfrm>
                        <a:off x="0" y="0"/>
                        <a:ext cx="114935" cy="198120"/>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39</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Text Box 1" o:spid="_x0000_s1026" o:spt="202" type="#_x0000_t202" style="position:absolute;left:0pt;margin-top:0pt;height:15.6pt;width:9.05pt;mso-position-horizontal:center;mso-position-horizontal-relative:margin;mso-wrap-style:none;z-index:251660288;mso-width-relative:page;mso-height-relative:page;" filled="f" stroked="f" coordsize="21600,21600" o:gfxdata="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h0EmN0AAAAAMBAAAPAAAAAAAAAAEA&#10;IAAAACIAAABkcnMvZG93bnJldi54bWxQSwECFAAUAAAACACHTuJA8XMT3N4BAACzAwAADgAAAAAA&#10;AAABACAAAAAfAQAAZHJzL2Uyb0RvYy54bWxQSwUGAAAAAAYABgBZAQAAbwU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39</w:t>
                    </w:r>
                    <w:r>
                      <w:rPr>
                        <w:rFonts w:hint="eastAsia"/>
                        <w:sz w:val="18"/>
                      </w:rPr>
                      <w:fldChar w:fldCharType="end"/>
                    </w:r>
                  </w:p>
                </w:txbxContent>
              </v:textbox>
            </v:shape>
          </w:pict>
        </mc:Fallback>
      </mc:AlternateContent>
    </w:r>
  </w:p>
  <w:p>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832A93"/>
    <w:multiLevelType w:val="singleLevel"/>
    <w:tmpl w:val="44832A93"/>
    <w:lvl w:ilvl="0" w:tentative="0">
      <w:start w:val="1"/>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2A5"/>
    <w:rsid w:val="0000128B"/>
    <w:rsid w:val="00001C03"/>
    <w:rsid w:val="000022E0"/>
    <w:rsid w:val="0000456E"/>
    <w:rsid w:val="000057D2"/>
    <w:rsid w:val="00005B3F"/>
    <w:rsid w:val="0000641E"/>
    <w:rsid w:val="00007279"/>
    <w:rsid w:val="000074A4"/>
    <w:rsid w:val="0001048A"/>
    <w:rsid w:val="000112C2"/>
    <w:rsid w:val="00011A7F"/>
    <w:rsid w:val="000125A7"/>
    <w:rsid w:val="00012C2B"/>
    <w:rsid w:val="00012E07"/>
    <w:rsid w:val="00012E74"/>
    <w:rsid w:val="00013BB1"/>
    <w:rsid w:val="00013FDC"/>
    <w:rsid w:val="00014444"/>
    <w:rsid w:val="00014CC9"/>
    <w:rsid w:val="00014E22"/>
    <w:rsid w:val="000163CF"/>
    <w:rsid w:val="000164DE"/>
    <w:rsid w:val="00016FC1"/>
    <w:rsid w:val="00017C55"/>
    <w:rsid w:val="00017CC2"/>
    <w:rsid w:val="00017F2A"/>
    <w:rsid w:val="0002165B"/>
    <w:rsid w:val="000216D1"/>
    <w:rsid w:val="00022448"/>
    <w:rsid w:val="00022464"/>
    <w:rsid w:val="000229DC"/>
    <w:rsid w:val="0002379F"/>
    <w:rsid w:val="0002577C"/>
    <w:rsid w:val="00025DB4"/>
    <w:rsid w:val="00026358"/>
    <w:rsid w:val="00026860"/>
    <w:rsid w:val="00026F03"/>
    <w:rsid w:val="00030294"/>
    <w:rsid w:val="000314AE"/>
    <w:rsid w:val="0003150F"/>
    <w:rsid w:val="00031826"/>
    <w:rsid w:val="00031E2B"/>
    <w:rsid w:val="00031F01"/>
    <w:rsid w:val="00032AA3"/>
    <w:rsid w:val="00032AB5"/>
    <w:rsid w:val="00032B23"/>
    <w:rsid w:val="000330AD"/>
    <w:rsid w:val="00033757"/>
    <w:rsid w:val="0003486C"/>
    <w:rsid w:val="00034F1F"/>
    <w:rsid w:val="00035096"/>
    <w:rsid w:val="000352BE"/>
    <w:rsid w:val="00035622"/>
    <w:rsid w:val="000376F3"/>
    <w:rsid w:val="00037721"/>
    <w:rsid w:val="00037925"/>
    <w:rsid w:val="00037AAD"/>
    <w:rsid w:val="00040285"/>
    <w:rsid w:val="000406F5"/>
    <w:rsid w:val="00041058"/>
    <w:rsid w:val="00041079"/>
    <w:rsid w:val="00041FFD"/>
    <w:rsid w:val="00042118"/>
    <w:rsid w:val="00042275"/>
    <w:rsid w:val="0004274E"/>
    <w:rsid w:val="00043426"/>
    <w:rsid w:val="000437AC"/>
    <w:rsid w:val="00044341"/>
    <w:rsid w:val="00045004"/>
    <w:rsid w:val="00045081"/>
    <w:rsid w:val="00045B76"/>
    <w:rsid w:val="000461DF"/>
    <w:rsid w:val="000465F5"/>
    <w:rsid w:val="00046925"/>
    <w:rsid w:val="0004717E"/>
    <w:rsid w:val="00047526"/>
    <w:rsid w:val="00047567"/>
    <w:rsid w:val="00047BDF"/>
    <w:rsid w:val="00047D03"/>
    <w:rsid w:val="00050292"/>
    <w:rsid w:val="0005096A"/>
    <w:rsid w:val="000509AC"/>
    <w:rsid w:val="00052027"/>
    <w:rsid w:val="0005328A"/>
    <w:rsid w:val="00053E9E"/>
    <w:rsid w:val="00053F04"/>
    <w:rsid w:val="00054ACD"/>
    <w:rsid w:val="000551A6"/>
    <w:rsid w:val="000554CD"/>
    <w:rsid w:val="000557B2"/>
    <w:rsid w:val="0005667A"/>
    <w:rsid w:val="00056AA2"/>
    <w:rsid w:val="000570BA"/>
    <w:rsid w:val="000571F0"/>
    <w:rsid w:val="000573A2"/>
    <w:rsid w:val="000576D7"/>
    <w:rsid w:val="000578E8"/>
    <w:rsid w:val="000579E1"/>
    <w:rsid w:val="00057CCE"/>
    <w:rsid w:val="00060229"/>
    <w:rsid w:val="0006077E"/>
    <w:rsid w:val="00060897"/>
    <w:rsid w:val="000616BA"/>
    <w:rsid w:val="00061D86"/>
    <w:rsid w:val="00062C03"/>
    <w:rsid w:val="00062F15"/>
    <w:rsid w:val="00063171"/>
    <w:rsid w:val="000632EE"/>
    <w:rsid w:val="00064467"/>
    <w:rsid w:val="000651EC"/>
    <w:rsid w:val="00065A82"/>
    <w:rsid w:val="00065B4F"/>
    <w:rsid w:val="00065E97"/>
    <w:rsid w:val="00066A9C"/>
    <w:rsid w:val="00066F61"/>
    <w:rsid w:val="00067461"/>
    <w:rsid w:val="0006749B"/>
    <w:rsid w:val="0006764E"/>
    <w:rsid w:val="00067D54"/>
    <w:rsid w:val="00067FB7"/>
    <w:rsid w:val="00070033"/>
    <w:rsid w:val="00071AEC"/>
    <w:rsid w:val="00072270"/>
    <w:rsid w:val="00072983"/>
    <w:rsid w:val="0007363C"/>
    <w:rsid w:val="00074967"/>
    <w:rsid w:val="00074D79"/>
    <w:rsid w:val="00074F5F"/>
    <w:rsid w:val="000763C0"/>
    <w:rsid w:val="00076462"/>
    <w:rsid w:val="00076C24"/>
    <w:rsid w:val="00077B1E"/>
    <w:rsid w:val="0008109B"/>
    <w:rsid w:val="000812CB"/>
    <w:rsid w:val="00081665"/>
    <w:rsid w:val="000823C9"/>
    <w:rsid w:val="00082542"/>
    <w:rsid w:val="000827E1"/>
    <w:rsid w:val="00082964"/>
    <w:rsid w:val="00082980"/>
    <w:rsid w:val="00083A2D"/>
    <w:rsid w:val="000845EB"/>
    <w:rsid w:val="000846F7"/>
    <w:rsid w:val="00084A34"/>
    <w:rsid w:val="00084A7C"/>
    <w:rsid w:val="0008527F"/>
    <w:rsid w:val="0008538E"/>
    <w:rsid w:val="000854B8"/>
    <w:rsid w:val="00086A4C"/>
    <w:rsid w:val="0008728E"/>
    <w:rsid w:val="00087B14"/>
    <w:rsid w:val="00090CA0"/>
    <w:rsid w:val="000910AE"/>
    <w:rsid w:val="000914D5"/>
    <w:rsid w:val="000916A4"/>
    <w:rsid w:val="0009228E"/>
    <w:rsid w:val="00092AD8"/>
    <w:rsid w:val="0009434F"/>
    <w:rsid w:val="000943F0"/>
    <w:rsid w:val="0009459A"/>
    <w:rsid w:val="0009489A"/>
    <w:rsid w:val="0009593C"/>
    <w:rsid w:val="00095A1A"/>
    <w:rsid w:val="00095A6E"/>
    <w:rsid w:val="00097858"/>
    <w:rsid w:val="00097901"/>
    <w:rsid w:val="000A0052"/>
    <w:rsid w:val="000A14B6"/>
    <w:rsid w:val="000A1FA7"/>
    <w:rsid w:val="000A240A"/>
    <w:rsid w:val="000A2DAD"/>
    <w:rsid w:val="000A32C2"/>
    <w:rsid w:val="000A3562"/>
    <w:rsid w:val="000A3EC6"/>
    <w:rsid w:val="000A428C"/>
    <w:rsid w:val="000A49F2"/>
    <w:rsid w:val="000A4CB3"/>
    <w:rsid w:val="000A5038"/>
    <w:rsid w:val="000A5121"/>
    <w:rsid w:val="000A5C60"/>
    <w:rsid w:val="000A5C71"/>
    <w:rsid w:val="000A5E99"/>
    <w:rsid w:val="000A630B"/>
    <w:rsid w:val="000A6B65"/>
    <w:rsid w:val="000B01E5"/>
    <w:rsid w:val="000B0C86"/>
    <w:rsid w:val="000B1799"/>
    <w:rsid w:val="000B1819"/>
    <w:rsid w:val="000B1C55"/>
    <w:rsid w:val="000B1DDE"/>
    <w:rsid w:val="000B29F2"/>
    <w:rsid w:val="000B2C7A"/>
    <w:rsid w:val="000B2DD5"/>
    <w:rsid w:val="000B499D"/>
    <w:rsid w:val="000B5388"/>
    <w:rsid w:val="000B5B5E"/>
    <w:rsid w:val="000B5CE7"/>
    <w:rsid w:val="000B5FED"/>
    <w:rsid w:val="000B6434"/>
    <w:rsid w:val="000B67C9"/>
    <w:rsid w:val="000B7B2F"/>
    <w:rsid w:val="000B7BB0"/>
    <w:rsid w:val="000C1135"/>
    <w:rsid w:val="000C1B1D"/>
    <w:rsid w:val="000C24F7"/>
    <w:rsid w:val="000C25B9"/>
    <w:rsid w:val="000C3209"/>
    <w:rsid w:val="000C3702"/>
    <w:rsid w:val="000C4767"/>
    <w:rsid w:val="000C5F1B"/>
    <w:rsid w:val="000C5F34"/>
    <w:rsid w:val="000C613E"/>
    <w:rsid w:val="000C69A4"/>
    <w:rsid w:val="000C75D9"/>
    <w:rsid w:val="000D0BC9"/>
    <w:rsid w:val="000D2588"/>
    <w:rsid w:val="000D2906"/>
    <w:rsid w:val="000D3BB1"/>
    <w:rsid w:val="000D40C0"/>
    <w:rsid w:val="000D53E3"/>
    <w:rsid w:val="000D662E"/>
    <w:rsid w:val="000D682F"/>
    <w:rsid w:val="000E02C5"/>
    <w:rsid w:val="000E073E"/>
    <w:rsid w:val="000E077E"/>
    <w:rsid w:val="000E07D3"/>
    <w:rsid w:val="000E0C7D"/>
    <w:rsid w:val="000E1954"/>
    <w:rsid w:val="000E1BEA"/>
    <w:rsid w:val="000E20BB"/>
    <w:rsid w:val="000E23C0"/>
    <w:rsid w:val="000E2DA4"/>
    <w:rsid w:val="000E2E06"/>
    <w:rsid w:val="000E3674"/>
    <w:rsid w:val="000E4724"/>
    <w:rsid w:val="000E57E7"/>
    <w:rsid w:val="000E5871"/>
    <w:rsid w:val="000E587B"/>
    <w:rsid w:val="000E7542"/>
    <w:rsid w:val="000F0087"/>
    <w:rsid w:val="000F01C3"/>
    <w:rsid w:val="000F127F"/>
    <w:rsid w:val="000F1E28"/>
    <w:rsid w:val="000F22D3"/>
    <w:rsid w:val="000F27CC"/>
    <w:rsid w:val="000F3D9A"/>
    <w:rsid w:val="000F4173"/>
    <w:rsid w:val="000F4417"/>
    <w:rsid w:val="000F4673"/>
    <w:rsid w:val="000F46D0"/>
    <w:rsid w:val="000F4BFF"/>
    <w:rsid w:val="000F56AB"/>
    <w:rsid w:val="000F57AF"/>
    <w:rsid w:val="000F5841"/>
    <w:rsid w:val="000F603B"/>
    <w:rsid w:val="000F6736"/>
    <w:rsid w:val="000F6A25"/>
    <w:rsid w:val="000F6A3A"/>
    <w:rsid w:val="000F6E84"/>
    <w:rsid w:val="000F72AA"/>
    <w:rsid w:val="000F73D0"/>
    <w:rsid w:val="000F75A0"/>
    <w:rsid w:val="000F7683"/>
    <w:rsid w:val="000F780C"/>
    <w:rsid w:val="001006D3"/>
    <w:rsid w:val="0010181B"/>
    <w:rsid w:val="00101B22"/>
    <w:rsid w:val="00101D71"/>
    <w:rsid w:val="00102ACC"/>
    <w:rsid w:val="00104B16"/>
    <w:rsid w:val="00104B34"/>
    <w:rsid w:val="00105938"/>
    <w:rsid w:val="00105B59"/>
    <w:rsid w:val="00105B5E"/>
    <w:rsid w:val="00106A46"/>
    <w:rsid w:val="00107C12"/>
    <w:rsid w:val="00107D98"/>
    <w:rsid w:val="00111C38"/>
    <w:rsid w:val="0011206C"/>
    <w:rsid w:val="001127AC"/>
    <w:rsid w:val="00113338"/>
    <w:rsid w:val="00114EFD"/>
    <w:rsid w:val="0011519F"/>
    <w:rsid w:val="0011570F"/>
    <w:rsid w:val="00115BD3"/>
    <w:rsid w:val="00116060"/>
    <w:rsid w:val="00116690"/>
    <w:rsid w:val="00116E41"/>
    <w:rsid w:val="00117FCC"/>
    <w:rsid w:val="00120060"/>
    <w:rsid w:val="00120B77"/>
    <w:rsid w:val="001211D2"/>
    <w:rsid w:val="00121205"/>
    <w:rsid w:val="001216BE"/>
    <w:rsid w:val="00121DDD"/>
    <w:rsid w:val="00121F21"/>
    <w:rsid w:val="0012351B"/>
    <w:rsid w:val="00124A74"/>
    <w:rsid w:val="00125041"/>
    <w:rsid w:val="00125490"/>
    <w:rsid w:val="00125746"/>
    <w:rsid w:val="00126A14"/>
    <w:rsid w:val="00126D17"/>
    <w:rsid w:val="00126D98"/>
    <w:rsid w:val="00126F63"/>
    <w:rsid w:val="001272C9"/>
    <w:rsid w:val="001278ED"/>
    <w:rsid w:val="00127B2B"/>
    <w:rsid w:val="00127E72"/>
    <w:rsid w:val="00127F71"/>
    <w:rsid w:val="00130618"/>
    <w:rsid w:val="00131429"/>
    <w:rsid w:val="00132B7E"/>
    <w:rsid w:val="00132DA5"/>
    <w:rsid w:val="001339FC"/>
    <w:rsid w:val="00133C20"/>
    <w:rsid w:val="00134112"/>
    <w:rsid w:val="001349A6"/>
    <w:rsid w:val="00135147"/>
    <w:rsid w:val="00135A64"/>
    <w:rsid w:val="0013615D"/>
    <w:rsid w:val="00136F5D"/>
    <w:rsid w:val="0013731D"/>
    <w:rsid w:val="00137A51"/>
    <w:rsid w:val="00137C61"/>
    <w:rsid w:val="00137F66"/>
    <w:rsid w:val="00140177"/>
    <w:rsid w:val="0014043C"/>
    <w:rsid w:val="00140446"/>
    <w:rsid w:val="001413A1"/>
    <w:rsid w:val="0014301D"/>
    <w:rsid w:val="00143C90"/>
    <w:rsid w:val="0014430A"/>
    <w:rsid w:val="00145527"/>
    <w:rsid w:val="00145537"/>
    <w:rsid w:val="001457DE"/>
    <w:rsid w:val="00145914"/>
    <w:rsid w:val="0014628E"/>
    <w:rsid w:val="00146466"/>
    <w:rsid w:val="00150349"/>
    <w:rsid w:val="001503A7"/>
    <w:rsid w:val="0015040D"/>
    <w:rsid w:val="00150B97"/>
    <w:rsid w:val="0015135D"/>
    <w:rsid w:val="00152694"/>
    <w:rsid w:val="00152EB1"/>
    <w:rsid w:val="00153F3B"/>
    <w:rsid w:val="001545BA"/>
    <w:rsid w:val="00155C69"/>
    <w:rsid w:val="00155CC5"/>
    <w:rsid w:val="00156744"/>
    <w:rsid w:val="00156A62"/>
    <w:rsid w:val="001571A8"/>
    <w:rsid w:val="00157723"/>
    <w:rsid w:val="00157945"/>
    <w:rsid w:val="00160B3E"/>
    <w:rsid w:val="00160B94"/>
    <w:rsid w:val="00161360"/>
    <w:rsid w:val="00161AFE"/>
    <w:rsid w:val="001627C0"/>
    <w:rsid w:val="00162BA7"/>
    <w:rsid w:val="001631B6"/>
    <w:rsid w:val="00163878"/>
    <w:rsid w:val="00163E97"/>
    <w:rsid w:val="0016433B"/>
    <w:rsid w:val="00164FE3"/>
    <w:rsid w:val="00165BAA"/>
    <w:rsid w:val="00165C16"/>
    <w:rsid w:val="00166019"/>
    <w:rsid w:val="00166D07"/>
    <w:rsid w:val="0016749E"/>
    <w:rsid w:val="00167A8B"/>
    <w:rsid w:val="00167A98"/>
    <w:rsid w:val="00167EA7"/>
    <w:rsid w:val="001701DB"/>
    <w:rsid w:val="0017101D"/>
    <w:rsid w:val="00171032"/>
    <w:rsid w:val="0017170A"/>
    <w:rsid w:val="00171C96"/>
    <w:rsid w:val="0017208C"/>
    <w:rsid w:val="00172AC6"/>
    <w:rsid w:val="00174382"/>
    <w:rsid w:val="00174D4C"/>
    <w:rsid w:val="00174D60"/>
    <w:rsid w:val="00174E86"/>
    <w:rsid w:val="00175025"/>
    <w:rsid w:val="0017573E"/>
    <w:rsid w:val="00175A5C"/>
    <w:rsid w:val="00176570"/>
    <w:rsid w:val="001779C0"/>
    <w:rsid w:val="00177BBC"/>
    <w:rsid w:val="00180499"/>
    <w:rsid w:val="00180C42"/>
    <w:rsid w:val="00180CB8"/>
    <w:rsid w:val="001810AA"/>
    <w:rsid w:val="001819EB"/>
    <w:rsid w:val="00181DEE"/>
    <w:rsid w:val="00182084"/>
    <w:rsid w:val="0018230C"/>
    <w:rsid w:val="00182502"/>
    <w:rsid w:val="00182588"/>
    <w:rsid w:val="00182952"/>
    <w:rsid w:val="00182A90"/>
    <w:rsid w:val="00183241"/>
    <w:rsid w:val="00184DBB"/>
    <w:rsid w:val="00184E4A"/>
    <w:rsid w:val="0018547E"/>
    <w:rsid w:val="001857D6"/>
    <w:rsid w:val="001859A2"/>
    <w:rsid w:val="00186196"/>
    <w:rsid w:val="00186565"/>
    <w:rsid w:val="0018681A"/>
    <w:rsid w:val="001868C1"/>
    <w:rsid w:val="00186F1A"/>
    <w:rsid w:val="00187570"/>
    <w:rsid w:val="001878EE"/>
    <w:rsid w:val="0019082B"/>
    <w:rsid w:val="0019125F"/>
    <w:rsid w:val="001916A5"/>
    <w:rsid w:val="00191F29"/>
    <w:rsid w:val="001923E1"/>
    <w:rsid w:val="00192DF1"/>
    <w:rsid w:val="001931C9"/>
    <w:rsid w:val="001938EA"/>
    <w:rsid w:val="00194061"/>
    <w:rsid w:val="001940E8"/>
    <w:rsid w:val="001944D9"/>
    <w:rsid w:val="00194C73"/>
    <w:rsid w:val="00194F03"/>
    <w:rsid w:val="0019591D"/>
    <w:rsid w:val="00195EC8"/>
    <w:rsid w:val="00196EFE"/>
    <w:rsid w:val="00196FEE"/>
    <w:rsid w:val="001A0913"/>
    <w:rsid w:val="001A0B47"/>
    <w:rsid w:val="001A1F61"/>
    <w:rsid w:val="001A2443"/>
    <w:rsid w:val="001A27B7"/>
    <w:rsid w:val="001A294D"/>
    <w:rsid w:val="001A2B2E"/>
    <w:rsid w:val="001A2E32"/>
    <w:rsid w:val="001A34C2"/>
    <w:rsid w:val="001A3BBB"/>
    <w:rsid w:val="001A3FC0"/>
    <w:rsid w:val="001A4CA9"/>
    <w:rsid w:val="001A4F8E"/>
    <w:rsid w:val="001A4FD4"/>
    <w:rsid w:val="001A5841"/>
    <w:rsid w:val="001A64FD"/>
    <w:rsid w:val="001A6628"/>
    <w:rsid w:val="001A6AB2"/>
    <w:rsid w:val="001A7233"/>
    <w:rsid w:val="001A7B9F"/>
    <w:rsid w:val="001B0404"/>
    <w:rsid w:val="001B055C"/>
    <w:rsid w:val="001B0900"/>
    <w:rsid w:val="001B0E57"/>
    <w:rsid w:val="001B0F15"/>
    <w:rsid w:val="001B1239"/>
    <w:rsid w:val="001B1422"/>
    <w:rsid w:val="001B18E7"/>
    <w:rsid w:val="001B2CAB"/>
    <w:rsid w:val="001B435D"/>
    <w:rsid w:val="001B48C1"/>
    <w:rsid w:val="001B4DBC"/>
    <w:rsid w:val="001B4DD8"/>
    <w:rsid w:val="001B55BE"/>
    <w:rsid w:val="001B562A"/>
    <w:rsid w:val="001B5C85"/>
    <w:rsid w:val="001B602E"/>
    <w:rsid w:val="001C0021"/>
    <w:rsid w:val="001C04A1"/>
    <w:rsid w:val="001C0DC6"/>
    <w:rsid w:val="001C1B58"/>
    <w:rsid w:val="001C1CA4"/>
    <w:rsid w:val="001C2B2E"/>
    <w:rsid w:val="001C34A5"/>
    <w:rsid w:val="001C3E67"/>
    <w:rsid w:val="001C5378"/>
    <w:rsid w:val="001C561A"/>
    <w:rsid w:val="001C563A"/>
    <w:rsid w:val="001C59D2"/>
    <w:rsid w:val="001C59DD"/>
    <w:rsid w:val="001C67E2"/>
    <w:rsid w:val="001C6D6F"/>
    <w:rsid w:val="001C6F78"/>
    <w:rsid w:val="001C784C"/>
    <w:rsid w:val="001D0A9C"/>
    <w:rsid w:val="001D1445"/>
    <w:rsid w:val="001D187E"/>
    <w:rsid w:val="001D1A0E"/>
    <w:rsid w:val="001D1CD1"/>
    <w:rsid w:val="001D293D"/>
    <w:rsid w:val="001D3A9C"/>
    <w:rsid w:val="001D3C98"/>
    <w:rsid w:val="001D4387"/>
    <w:rsid w:val="001D4FCC"/>
    <w:rsid w:val="001D5066"/>
    <w:rsid w:val="001D6216"/>
    <w:rsid w:val="001D65E0"/>
    <w:rsid w:val="001D67B3"/>
    <w:rsid w:val="001D681E"/>
    <w:rsid w:val="001D69B9"/>
    <w:rsid w:val="001D72D5"/>
    <w:rsid w:val="001D7854"/>
    <w:rsid w:val="001E0296"/>
    <w:rsid w:val="001E0BDD"/>
    <w:rsid w:val="001E0FF1"/>
    <w:rsid w:val="001E1105"/>
    <w:rsid w:val="001E15B1"/>
    <w:rsid w:val="001E193E"/>
    <w:rsid w:val="001E1D4E"/>
    <w:rsid w:val="001E38C4"/>
    <w:rsid w:val="001E3A3D"/>
    <w:rsid w:val="001E40C9"/>
    <w:rsid w:val="001E5826"/>
    <w:rsid w:val="001E5E83"/>
    <w:rsid w:val="001E5F90"/>
    <w:rsid w:val="001E69BA"/>
    <w:rsid w:val="001E6B0B"/>
    <w:rsid w:val="001E6B2C"/>
    <w:rsid w:val="001E7010"/>
    <w:rsid w:val="001F1ADD"/>
    <w:rsid w:val="001F2060"/>
    <w:rsid w:val="001F21F4"/>
    <w:rsid w:val="001F26DE"/>
    <w:rsid w:val="001F35A7"/>
    <w:rsid w:val="001F3798"/>
    <w:rsid w:val="001F4AA9"/>
    <w:rsid w:val="001F5009"/>
    <w:rsid w:val="001F5122"/>
    <w:rsid w:val="001F5287"/>
    <w:rsid w:val="001F569B"/>
    <w:rsid w:val="001F62B7"/>
    <w:rsid w:val="001F6571"/>
    <w:rsid w:val="001F65ED"/>
    <w:rsid w:val="001F7053"/>
    <w:rsid w:val="001F71B4"/>
    <w:rsid w:val="002006FA"/>
    <w:rsid w:val="00201C9E"/>
    <w:rsid w:val="00202BB9"/>
    <w:rsid w:val="00202C74"/>
    <w:rsid w:val="002030F5"/>
    <w:rsid w:val="0020336A"/>
    <w:rsid w:val="00203475"/>
    <w:rsid w:val="002037C5"/>
    <w:rsid w:val="00204046"/>
    <w:rsid w:val="00205688"/>
    <w:rsid w:val="0020621C"/>
    <w:rsid w:val="002069C6"/>
    <w:rsid w:val="00206D8A"/>
    <w:rsid w:val="0020736E"/>
    <w:rsid w:val="00207A62"/>
    <w:rsid w:val="00210025"/>
    <w:rsid w:val="00211548"/>
    <w:rsid w:val="00211558"/>
    <w:rsid w:val="00212808"/>
    <w:rsid w:val="00213359"/>
    <w:rsid w:val="002134AE"/>
    <w:rsid w:val="002136A2"/>
    <w:rsid w:val="00213732"/>
    <w:rsid w:val="00213734"/>
    <w:rsid w:val="002139FC"/>
    <w:rsid w:val="002140DB"/>
    <w:rsid w:val="00214318"/>
    <w:rsid w:val="00214331"/>
    <w:rsid w:val="00215434"/>
    <w:rsid w:val="0021582D"/>
    <w:rsid w:val="00216912"/>
    <w:rsid w:val="00216DEA"/>
    <w:rsid w:val="002172B8"/>
    <w:rsid w:val="00220259"/>
    <w:rsid w:val="0022185F"/>
    <w:rsid w:val="00221895"/>
    <w:rsid w:val="00221DA8"/>
    <w:rsid w:val="00221E02"/>
    <w:rsid w:val="00221F05"/>
    <w:rsid w:val="00221F37"/>
    <w:rsid w:val="002224D1"/>
    <w:rsid w:val="00223C82"/>
    <w:rsid w:val="00223E0E"/>
    <w:rsid w:val="002248F6"/>
    <w:rsid w:val="002260DD"/>
    <w:rsid w:val="002261B1"/>
    <w:rsid w:val="00226257"/>
    <w:rsid w:val="0022688A"/>
    <w:rsid w:val="00226C7D"/>
    <w:rsid w:val="00226FB2"/>
    <w:rsid w:val="00227284"/>
    <w:rsid w:val="00230364"/>
    <w:rsid w:val="00230704"/>
    <w:rsid w:val="00230ECB"/>
    <w:rsid w:val="0023136D"/>
    <w:rsid w:val="002323E0"/>
    <w:rsid w:val="002323F3"/>
    <w:rsid w:val="002329EB"/>
    <w:rsid w:val="002330F2"/>
    <w:rsid w:val="002333BE"/>
    <w:rsid w:val="00233900"/>
    <w:rsid w:val="00233F84"/>
    <w:rsid w:val="00235836"/>
    <w:rsid w:val="00235DA0"/>
    <w:rsid w:val="002362FD"/>
    <w:rsid w:val="00237707"/>
    <w:rsid w:val="0023782B"/>
    <w:rsid w:val="002378DC"/>
    <w:rsid w:val="002378FA"/>
    <w:rsid w:val="00237991"/>
    <w:rsid w:val="00237EAF"/>
    <w:rsid w:val="0024033B"/>
    <w:rsid w:val="00240617"/>
    <w:rsid w:val="00240BA9"/>
    <w:rsid w:val="00240D56"/>
    <w:rsid w:val="00241140"/>
    <w:rsid w:val="00241F06"/>
    <w:rsid w:val="00242973"/>
    <w:rsid w:val="00243AD9"/>
    <w:rsid w:val="00243CC3"/>
    <w:rsid w:val="00243D20"/>
    <w:rsid w:val="002450E3"/>
    <w:rsid w:val="00245D1C"/>
    <w:rsid w:val="00247FC8"/>
    <w:rsid w:val="002506B2"/>
    <w:rsid w:val="002508B6"/>
    <w:rsid w:val="002508D6"/>
    <w:rsid w:val="00250951"/>
    <w:rsid w:val="00250C0F"/>
    <w:rsid w:val="00250EA8"/>
    <w:rsid w:val="00250FDB"/>
    <w:rsid w:val="002515A8"/>
    <w:rsid w:val="00251987"/>
    <w:rsid w:val="00251E57"/>
    <w:rsid w:val="00252855"/>
    <w:rsid w:val="00252A4C"/>
    <w:rsid w:val="002533A8"/>
    <w:rsid w:val="0025399F"/>
    <w:rsid w:val="0025445E"/>
    <w:rsid w:val="002545A8"/>
    <w:rsid w:val="00254D54"/>
    <w:rsid w:val="0025551C"/>
    <w:rsid w:val="00255F62"/>
    <w:rsid w:val="00256305"/>
    <w:rsid w:val="002565FE"/>
    <w:rsid w:val="00257A6C"/>
    <w:rsid w:val="00257AD7"/>
    <w:rsid w:val="00260393"/>
    <w:rsid w:val="002618C8"/>
    <w:rsid w:val="002619D0"/>
    <w:rsid w:val="0026217E"/>
    <w:rsid w:val="00262C0D"/>
    <w:rsid w:val="002634D5"/>
    <w:rsid w:val="00263817"/>
    <w:rsid w:val="002642D8"/>
    <w:rsid w:val="0026467C"/>
    <w:rsid w:val="00264727"/>
    <w:rsid w:val="00264994"/>
    <w:rsid w:val="002650A9"/>
    <w:rsid w:val="002661F6"/>
    <w:rsid w:val="002664B9"/>
    <w:rsid w:val="00267653"/>
    <w:rsid w:val="00267FBC"/>
    <w:rsid w:val="002701F1"/>
    <w:rsid w:val="00271487"/>
    <w:rsid w:val="002714B2"/>
    <w:rsid w:val="00272847"/>
    <w:rsid w:val="00273D11"/>
    <w:rsid w:val="0027403A"/>
    <w:rsid w:val="00274A28"/>
    <w:rsid w:val="00274C0A"/>
    <w:rsid w:val="00275053"/>
    <w:rsid w:val="00275147"/>
    <w:rsid w:val="002755D6"/>
    <w:rsid w:val="00275871"/>
    <w:rsid w:val="0027605A"/>
    <w:rsid w:val="002761CC"/>
    <w:rsid w:val="00276930"/>
    <w:rsid w:val="00276B4F"/>
    <w:rsid w:val="0027706A"/>
    <w:rsid w:val="00277106"/>
    <w:rsid w:val="002774DC"/>
    <w:rsid w:val="00277782"/>
    <w:rsid w:val="00281325"/>
    <w:rsid w:val="0028286C"/>
    <w:rsid w:val="00282F80"/>
    <w:rsid w:val="002835EE"/>
    <w:rsid w:val="00283659"/>
    <w:rsid w:val="0028421D"/>
    <w:rsid w:val="00284733"/>
    <w:rsid w:val="002848A2"/>
    <w:rsid w:val="00284E35"/>
    <w:rsid w:val="00284E5D"/>
    <w:rsid w:val="002872B2"/>
    <w:rsid w:val="002875E4"/>
    <w:rsid w:val="00287914"/>
    <w:rsid w:val="002905B2"/>
    <w:rsid w:val="00292124"/>
    <w:rsid w:val="002924B6"/>
    <w:rsid w:val="002924D4"/>
    <w:rsid w:val="00292536"/>
    <w:rsid w:val="00293E1B"/>
    <w:rsid w:val="00294965"/>
    <w:rsid w:val="00295955"/>
    <w:rsid w:val="002959A7"/>
    <w:rsid w:val="00295BE3"/>
    <w:rsid w:val="00295C9B"/>
    <w:rsid w:val="00296151"/>
    <w:rsid w:val="00296860"/>
    <w:rsid w:val="002969BF"/>
    <w:rsid w:val="00297B6D"/>
    <w:rsid w:val="002A0ACB"/>
    <w:rsid w:val="002A1A21"/>
    <w:rsid w:val="002A1E50"/>
    <w:rsid w:val="002A2711"/>
    <w:rsid w:val="002A3151"/>
    <w:rsid w:val="002A3C84"/>
    <w:rsid w:val="002A3CA2"/>
    <w:rsid w:val="002A3F3B"/>
    <w:rsid w:val="002A43C5"/>
    <w:rsid w:val="002A48A7"/>
    <w:rsid w:val="002A4A53"/>
    <w:rsid w:val="002A4FBA"/>
    <w:rsid w:val="002A5E0A"/>
    <w:rsid w:val="002A6043"/>
    <w:rsid w:val="002A6502"/>
    <w:rsid w:val="002A655D"/>
    <w:rsid w:val="002A6CF4"/>
    <w:rsid w:val="002A7084"/>
    <w:rsid w:val="002B0764"/>
    <w:rsid w:val="002B0D9D"/>
    <w:rsid w:val="002B1289"/>
    <w:rsid w:val="002B168A"/>
    <w:rsid w:val="002B2587"/>
    <w:rsid w:val="002B2DD3"/>
    <w:rsid w:val="002B3B7C"/>
    <w:rsid w:val="002B3DEE"/>
    <w:rsid w:val="002B4413"/>
    <w:rsid w:val="002B4AC9"/>
    <w:rsid w:val="002B4E03"/>
    <w:rsid w:val="002B548C"/>
    <w:rsid w:val="002B55E6"/>
    <w:rsid w:val="002B567B"/>
    <w:rsid w:val="002B610C"/>
    <w:rsid w:val="002B6B3C"/>
    <w:rsid w:val="002B6C03"/>
    <w:rsid w:val="002B75C5"/>
    <w:rsid w:val="002C0DE9"/>
    <w:rsid w:val="002C14F2"/>
    <w:rsid w:val="002C173B"/>
    <w:rsid w:val="002C265B"/>
    <w:rsid w:val="002C36A3"/>
    <w:rsid w:val="002C3CA9"/>
    <w:rsid w:val="002C3E90"/>
    <w:rsid w:val="002C5843"/>
    <w:rsid w:val="002C58C6"/>
    <w:rsid w:val="002C5A72"/>
    <w:rsid w:val="002C6B88"/>
    <w:rsid w:val="002C6DE2"/>
    <w:rsid w:val="002C7134"/>
    <w:rsid w:val="002C77EC"/>
    <w:rsid w:val="002D002E"/>
    <w:rsid w:val="002D1CBE"/>
    <w:rsid w:val="002D1CED"/>
    <w:rsid w:val="002D213C"/>
    <w:rsid w:val="002D257F"/>
    <w:rsid w:val="002D2662"/>
    <w:rsid w:val="002D2E65"/>
    <w:rsid w:val="002D441D"/>
    <w:rsid w:val="002D4460"/>
    <w:rsid w:val="002D4537"/>
    <w:rsid w:val="002D4695"/>
    <w:rsid w:val="002D56C8"/>
    <w:rsid w:val="002D5813"/>
    <w:rsid w:val="002D58B8"/>
    <w:rsid w:val="002D6AE7"/>
    <w:rsid w:val="002D6BDD"/>
    <w:rsid w:val="002D72B9"/>
    <w:rsid w:val="002D74A4"/>
    <w:rsid w:val="002E01A1"/>
    <w:rsid w:val="002E0441"/>
    <w:rsid w:val="002E0F4C"/>
    <w:rsid w:val="002E1325"/>
    <w:rsid w:val="002E1562"/>
    <w:rsid w:val="002E2272"/>
    <w:rsid w:val="002E2628"/>
    <w:rsid w:val="002E2D62"/>
    <w:rsid w:val="002E3663"/>
    <w:rsid w:val="002E3722"/>
    <w:rsid w:val="002E387F"/>
    <w:rsid w:val="002E3951"/>
    <w:rsid w:val="002E3B3A"/>
    <w:rsid w:val="002E3B77"/>
    <w:rsid w:val="002E3F04"/>
    <w:rsid w:val="002E431C"/>
    <w:rsid w:val="002E4651"/>
    <w:rsid w:val="002E48D8"/>
    <w:rsid w:val="002E49E4"/>
    <w:rsid w:val="002E4B8F"/>
    <w:rsid w:val="002E4F9A"/>
    <w:rsid w:val="002E5554"/>
    <w:rsid w:val="002E5697"/>
    <w:rsid w:val="002E689D"/>
    <w:rsid w:val="002E6ED4"/>
    <w:rsid w:val="002E71B9"/>
    <w:rsid w:val="002E7CDB"/>
    <w:rsid w:val="002F0046"/>
    <w:rsid w:val="002F0A38"/>
    <w:rsid w:val="002F0C47"/>
    <w:rsid w:val="002F3059"/>
    <w:rsid w:val="002F3311"/>
    <w:rsid w:val="002F3BFC"/>
    <w:rsid w:val="002F3E34"/>
    <w:rsid w:val="002F3F49"/>
    <w:rsid w:val="002F49F2"/>
    <w:rsid w:val="002F4D2C"/>
    <w:rsid w:val="002F4F57"/>
    <w:rsid w:val="002F51CB"/>
    <w:rsid w:val="002F52CD"/>
    <w:rsid w:val="002F54D0"/>
    <w:rsid w:val="002F5C51"/>
    <w:rsid w:val="002F6CB4"/>
    <w:rsid w:val="00300BD9"/>
    <w:rsid w:val="003021BE"/>
    <w:rsid w:val="00302CA3"/>
    <w:rsid w:val="00304005"/>
    <w:rsid w:val="00304CB8"/>
    <w:rsid w:val="003053E2"/>
    <w:rsid w:val="00306BF1"/>
    <w:rsid w:val="00306DEE"/>
    <w:rsid w:val="00307F06"/>
    <w:rsid w:val="00310068"/>
    <w:rsid w:val="00310163"/>
    <w:rsid w:val="00310A43"/>
    <w:rsid w:val="00310CFC"/>
    <w:rsid w:val="00311640"/>
    <w:rsid w:val="003117FC"/>
    <w:rsid w:val="00311EC9"/>
    <w:rsid w:val="0031227E"/>
    <w:rsid w:val="00312EED"/>
    <w:rsid w:val="003138F8"/>
    <w:rsid w:val="0031429D"/>
    <w:rsid w:val="003142EC"/>
    <w:rsid w:val="0031480D"/>
    <w:rsid w:val="00314A00"/>
    <w:rsid w:val="00314ABD"/>
    <w:rsid w:val="00314DDD"/>
    <w:rsid w:val="00315300"/>
    <w:rsid w:val="00315897"/>
    <w:rsid w:val="00315F8D"/>
    <w:rsid w:val="00316076"/>
    <w:rsid w:val="00316B47"/>
    <w:rsid w:val="00316D15"/>
    <w:rsid w:val="0031734E"/>
    <w:rsid w:val="00317CE7"/>
    <w:rsid w:val="0032047F"/>
    <w:rsid w:val="00320C8B"/>
    <w:rsid w:val="00321D55"/>
    <w:rsid w:val="00321F41"/>
    <w:rsid w:val="00322970"/>
    <w:rsid w:val="00322D14"/>
    <w:rsid w:val="003234F5"/>
    <w:rsid w:val="00323A20"/>
    <w:rsid w:val="003244A5"/>
    <w:rsid w:val="003250BC"/>
    <w:rsid w:val="00325856"/>
    <w:rsid w:val="00326102"/>
    <w:rsid w:val="00326512"/>
    <w:rsid w:val="003268ED"/>
    <w:rsid w:val="00327B23"/>
    <w:rsid w:val="003302DD"/>
    <w:rsid w:val="00330EE6"/>
    <w:rsid w:val="00331D17"/>
    <w:rsid w:val="00332A85"/>
    <w:rsid w:val="003349EB"/>
    <w:rsid w:val="00335129"/>
    <w:rsid w:val="003353BD"/>
    <w:rsid w:val="00336324"/>
    <w:rsid w:val="00336C93"/>
    <w:rsid w:val="00336F14"/>
    <w:rsid w:val="00337347"/>
    <w:rsid w:val="00337746"/>
    <w:rsid w:val="00337F1C"/>
    <w:rsid w:val="00337F94"/>
    <w:rsid w:val="00340197"/>
    <w:rsid w:val="003405D1"/>
    <w:rsid w:val="00340EA6"/>
    <w:rsid w:val="00341206"/>
    <w:rsid w:val="00341B7A"/>
    <w:rsid w:val="003423E6"/>
    <w:rsid w:val="00342528"/>
    <w:rsid w:val="00342577"/>
    <w:rsid w:val="003426CC"/>
    <w:rsid w:val="0034332A"/>
    <w:rsid w:val="003433C2"/>
    <w:rsid w:val="003434C8"/>
    <w:rsid w:val="00343993"/>
    <w:rsid w:val="00343BD5"/>
    <w:rsid w:val="00344FC7"/>
    <w:rsid w:val="00345385"/>
    <w:rsid w:val="00345432"/>
    <w:rsid w:val="0034582C"/>
    <w:rsid w:val="00345C62"/>
    <w:rsid w:val="00345CFA"/>
    <w:rsid w:val="003461EE"/>
    <w:rsid w:val="00347022"/>
    <w:rsid w:val="003504CA"/>
    <w:rsid w:val="00350522"/>
    <w:rsid w:val="003507F2"/>
    <w:rsid w:val="00350ACE"/>
    <w:rsid w:val="003517F8"/>
    <w:rsid w:val="00351AEC"/>
    <w:rsid w:val="003526E5"/>
    <w:rsid w:val="00353A35"/>
    <w:rsid w:val="00353AE8"/>
    <w:rsid w:val="00353FE4"/>
    <w:rsid w:val="0035506F"/>
    <w:rsid w:val="003550E1"/>
    <w:rsid w:val="0035548D"/>
    <w:rsid w:val="00355CA5"/>
    <w:rsid w:val="003561D9"/>
    <w:rsid w:val="00356DF4"/>
    <w:rsid w:val="00356EFA"/>
    <w:rsid w:val="00357401"/>
    <w:rsid w:val="0035799B"/>
    <w:rsid w:val="00357E57"/>
    <w:rsid w:val="00357EA7"/>
    <w:rsid w:val="00357EDC"/>
    <w:rsid w:val="003612A5"/>
    <w:rsid w:val="00361571"/>
    <w:rsid w:val="00361E04"/>
    <w:rsid w:val="00362C3E"/>
    <w:rsid w:val="00362E2A"/>
    <w:rsid w:val="00364112"/>
    <w:rsid w:val="003643BE"/>
    <w:rsid w:val="00364CCB"/>
    <w:rsid w:val="003652CE"/>
    <w:rsid w:val="0036565E"/>
    <w:rsid w:val="003660CE"/>
    <w:rsid w:val="003667F0"/>
    <w:rsid w:val="00370952"/>
    <w:rsid w:val="0037233F"/>
    <w:rsid w:val="00372669"/>
    <w:rsid w:val="00372B01"/>
    <w:rsid w:val="003748C7"/>
    <w:rsid w:val="00374AD5"/>
    <w:rsid w:val="00374C7B"/>
    <w:rsid w:val="00375546"/>
    <w:rsid w:val="00375741"/>
    <w:rsid w:val="00375A1E"/>
    <w:rsid w:val="00375ECB"/>
    <w:rsid w:val="00376651"/>
    <w:rsid w:val="0037669F"/>
    <w:rsid w:val="0037688C"/>
    <w:rsid w:val="003770A0"/>
    <w:rsid w:val="00380167"/>
    <w:rsid w:val="00380638"/>
    <w:rsid w:val="00380E68"/>
    <w:rsid w:val="003814E9"/>
    <w:rsid w:val="00381D3A"/>
    <w:rsid w:val="00382F81"/>
    <w:rsid w:val="00383BBD"/>
    <w:rsid w:val="0038400A"/>
    <w:rsid w:val="00384800"/>
    <w:rsid w:val="00385305"/>
    <w:rsid w:val="00386E55"/>
    <w:rsid w:val="0038742B"/>
    <w:rsid w:val="00387503"/>
    <w:rsid w:val="003876CF"/>
    <w:rsid w:val="00387EE1"/>
    <w:rsid w:val="003914CF"/>
    <w:rsid w:val="00392233"/>
    <w:rsid w:val="003924E8"/>
    <w:rsid w:val="00393156"/>
    <w:rsid w:val="00393B70"/>
    <w:rsid w:val="00394138"/>
    <w:rsid w:val="003947CA"/>
    <w:rsid w:val="00395231"/>
    <w:rsid w:val="00396304"/>
    <w:rsid w:val="003963B5"/>
    <w:rsid w:val="003964A7"/>
    <w:rsid w:val="00396D35"/>
    <w:rsid w:val="003971A2"/>
    <w:rsid w:val="003A019E"/>
    <w:rsid w:val="003A029F"/>
    <w:rsid w:val="003A0633"/>
    <w:rsid w:val="003A0F39"/>
    <w:rsid w:val="003A1047"/>
    <w:rsid w:val="003A169C"/>
    <w:rsid w:val="003A18BC"/>
    <w:rsid w:val="003A2CEB"/>
    <w:rsid w:val="003A3817"/>
    <w:rsid w:val="003A3DB0"/>
    <w:rsid w:val="003A3EB3"/>
    <w:rsid w:val="003A598B"/>
    <w:rsid w:val="003A59B5"/>
    <w:rsid w:val="003A6C72"/>
    <w:rsid w:val="003A7CBE"/>
    <w:rsid w:val="003B1072"/>
    <w:rsid w:val="003B200D"/>
    <w:rsid w:val="003B2BF4"/>
    <w:rsid w:val="003B38F8"/>
    <w:rsid w:val="003B520A"/>
    <w:rsid w:val="003B5784"/>
    <w:rsid w:val="003B588F"/>
    <w:rsid w:val="003B59A3"/>
    <w:rsid w:val="003B5B1F"/>
    <w:rsid w:val="003B7137"/>
    <w:rsid w:val="003B7535"/>
    <w:rsid w:val="003B7F64"/>
    <w:rsid w:val="003C0098"/>
    <w:rsid w:val="003C2CE2"/>
    <w:rsid w:val="003C2F1B"/>
    <w:rsid w:val="003C30A2"/>
    <w:rsid w:val="003C3F32"/>
    <w:rsid w:val="003C4334"/>
    <w:rsid w:val="003C4463"/>
    <w:rsid w:val="003C47A2"/>
    <w:rsid w:val="003C4875"/>
    <w:rsid w:val="003C56AF"/>
    <w:rsid w:val="003C5BBA"/>
    <w:rsid w:val="003C68F0"/>
    <w:rsid w:val="003C6955"/>
    <w:rsid w:val="003C697B"/>
    <w:rsid w:val="003C6D81"/>
    <w:rsid w:val="003D0AFE"/>
    <w:rsid w:val="003D0D67"/>
    <w:rsid w:val="003D0DB8"/>
    <w:rsid w:val="003D10AE"/>
    <w:rsid w:val="003D1279"/>
    <w:rsid w:val="003D1AF5"/>
    <w:rsid w:val="003D391A"/>
    <w:rsid w:val="003D3E81"/>
    <w:rsid w:val="003D4834"/>
    <w:rsid w:val="003D488F"/>
    <w:rsid w:val="003D4FB6"/>
    <w:rsid w:val="003D5381"/>
    <w:rsid w:val="003D6C79"/>
    <w:rsid w:val="003D70CE"/>
    <w:rsid w:val="003E0F4D"/>
    <w:rsid w:val="003E10B7"/>
    <w:rsid w:val="003E1A0D"/>
    <w:rsid w:val="003E1B44"/>
    <w:rsid w:val="003E2457"/>
    <w:rsid w:val="003E2460"/>
    <w:rsid w:val="003E25D2"/>
    <w:rsid w:val="003E2F9F"/>
    <w:rsid w:val="003E30A4"/>
    <w:rsid w:val="003E3DEF"/>
    <w:rsid w:val="003E4319"/>
    <w:rsid w:val="003E55B9"/>
    <w:rsid w:val="003E57B4"/>
    <w:rsid w:val="003E5F25"/>
    <w:rsid w:val="003E607F"/>
    <w:rsid w:val="003E67D0"/>
    <w:rsid w:val="003E699E"/>
    <w:rsid w:val="003E776E"/>
    <w:rsid w:val="003E778C"/>
    <w:rsid w:val="003F020C"/>
    <w:rsid w:val="003F0582"/>
    <w:rsid w:val="003F0D77"/>
    <w:rsid w:val="003F0EE3"/>
    <w:rsid w:val="003F137B"/>
    <w:rsid w:val="003F1FA2"/>
    <w:rsid w:val="003F2CDF"/>
    <w:rsid w:val="003F419D"/>
    <w:rsid w:val="003F4789"/>
    <w:rsid w:val="003F4FE2"/>
    <w:rsid w:val="003F5476"/>
    <w:rsid w:val="003F58C0"/>
    <w:rsid w:val="003F5C40"/>
    <w:rsid w:val="003F6148"/>
    <w:rsid w:val="003F6B2D"/>
    <w:rsid w:val="003F6B48"/>
    <w:rsid w:val="003F6C5E"/>
    <w:rsid w:val="003F79A1"/>
    <w:rsid w:val="003F7CA1"/>
    <w:rsid w:val="003F7D19"/>
    <w:rsid w:val="00400627"/>
    <w:rsid w:val="004013C0"/>
    <w:rsid w:val="00401F9D"/>
    <w:rsid w:val="0040285A"/>
    <w:rsid w:val="00402CAF"/>
    <w:rsid w:val="004034D1"/>
    <w:rsid w:val="00403E8D"/>
    <w:rsid w:val="0040495B"/>
    <w:rsid w:val="00404960"/>
    <w:rsid w:val="00404DE9"/>
    <w:rsid w:val="00405337"/>
    <w:rsid w:val="00405ABE"/>
    <w:rsid w:val="004064DE"/>
    <w:rsid w:val="004067A9"/>
    <w:rsid w:val="004068A7"/>
    <w:rsid w:val="00406EAE"/>
    <w:rsid w:val="0040703E"/>
    <w:rsid w:val="00407237"/>
    <w:rsid w:val="004076C1"/>
    <w:rsid w:val="00407F94"/>
    <w:rsid w:val="004101E9"/>
    <w:rsid w:val="004105AB"/>
    <w:rsid w:val="004106F4"/>
    <w:rsid w:val="00410D04"/>
    <w:rsid w:val="00411068"/>
    <w:rsid w:val="00411078"/>
    <w:rsid w:val="00411E61"/>
    <w:rsid w:val="00411F57"/>
    <w:rsid w:val="00412F1B"/>
    <w:rsid w:val="0041385B"/>
    <w:rsid w:val="00414B1D"/>
    <w:rsid w:val="004151EF"/>
    <w:rsid w:val="0041604D"/>
    <w:rsid w:val="004162DE"/>
    <w:rsid w:val="004171D2"/>
    <w:rsid w:val="00417948"/>
    <w:rsid w:val="00417D14"/>
    <w:rsid w:val="00420111"/>
    <w:rsid w:val="00420AE3"/>
    <w:rsid w:val="00421328"/>
    <w:rsid w:val="00421F6D"/>
    <w:rsid w:val="00422089"/>
    <w:rsid w:val="00422ECF"/>
    <w:rsid w:val="004239BB"/>
    <w:rsid w:val="004244A9"/>
    <w:rsid w:val="0042467D"/>
    <w:rsid w:val="004248A2"/>
    <w:rsid w:val="0042615D"/>
    <w:rsid w:val="00426257"/>
    <w:rsid w:val="00426E48"/>
    <w:rsid w:val="00426F13"/>
    <w:rsid w:val="00430792"/>
    <w:rsid w:val="0043117F"/>
    <w:rsid w:val="00431FA4"/>
    <w:rsid w:val="00432021"/>
    <w:rsid w:val="00432A5B"/>
    <w:rsid w:val="00433193"/>
    <w:rsid w:val="0043473E"/>
    <w:rsid w:val="00434851"/>
    <w:rsid w:val="0043517E"/>
    <w:rsid w:val="004358FA"/>
    <w:rsid w:val="00435996"/>
    <w:rsid w:val="00435AB2"/>
    <w:rsid w:val="0043622E"/>
    <w:rsid w:val="00436FED"/>
    <w:rsid w:val="00437547"/>
    <w:rsid w:val="004404C0"/>
    <w:rsid w:val="004418BB"/>
    <w:rsid w:val="004420D4"/>
    <w:rsid w:val="00442149"/>
    <w:rsid w:val="004429B6"/>
    <w:rsid w:val="00442A40"/>
    <w:rsid w:val="00442E59"/>
    <w:rsid w:val="00444ACC"/>
    <w:rsid w:val="00444B07"/>
    <w:rsid w:val="004475E1"/>
    <w:rsid w:val="00447793"/>
    <w:rsid w:val="00447DD0"/>
    <w:rsid w:val="00447FEC"/>
    <w:rsid w:val="00450BE7"/>
    <w:rsid w:val="0045149C"/>
    <w:rsid w:val="004521A5"/>
    <w:rsid w:val="004522AA"/>
    <w:rsid w:val="004537AB"/>
    <w:rsid w:val="0045397F"/>
    <w:rsid w:val="0045478D"/>
    <w:rsid w:val="0045500C"/>
    <w:rsid w:val="00455E29"/>
    <w:rsid w:val="00456D6A"/>
    <w:rsid w:val="004576F6"/>
    <w:rsid w:val="0045790A"/>
    <w:rsid w:val="00457CC9"/>
    <w:rsid w:val="00460398"/>
    <w:rsid w:val="004611A8"/>
    <w:rsid w:val="0046130B"/>
    <w:rsid w:val="00461406"/>
    <w:rsid w:val="00461D3E"/>
    <w:rsid w:val="004622AE"/>
    <w:rsid w:val="0046321A"/>
    <w:rsid w:val="0046398B"/>
    <w:rsid w:val="00463BBA"/>
    <w:rsid w:val="00463E82"/>
    <w:rsid w:val="00464663"/>
    <w:rsid w:val="00464741"/>
    <w:rsid w:val="00465152"/>
    <w:rsid w:val="004652DA"/>
    <w:rsid w:val="00465867"/>
    <w:rsid w:val="00466300"/>
    <w:rsid w:val="0046655F"/>
    <w:rsid w:val="00466F8B"/>
    <w:rsid w:val="00470024"/>
    <w:rsid w:val="00470EFB"/>
    <w:rsid w:val="00471CD7"/>
    <w:rsid w:val="00471D66"/>
    <w:rsid w:val="0047202B"/>
    <w:rsid w:val="004724B6"/>
    <w:rsid w:val="00473079"/>
    <w:rsid w:val="004736A4"/>
    <w:rsid w:val="004749D5"/>
    <w:rsid w:val="00474FEA"/>
    <w:rsid w:val="00475612"/>
    <w:rsid w:val="00475922"/>
    <w:rsid w:val="004765B9"/>
    <w:rsid w:val="00477223"/>
    <w:rsid w:val="004772AB"/>
    <w:rsid w:val="00480045"/>
    <w:rsid w:val="00480CF8"/>
    <w:rsid w:val="00481905"/>
    <w:rsid w:val="00481989"/>
    <w:rsid w:val="00482CD5"/>
    <w:rsid w:val="0048328B"/>
    <w:rsid w:val="004837E8"/>
    <w:rsid w:val="00483969"/>
    <w:rsid w:val="0048433E"/>
    <w:rsid w:val="00484A28"/>
    <w:rsid w:val="0048511F"/>
    <w:rsid w:val="0048514A"/>
    <w:rsid w:val="00485890"/>
    <w:rsid w:val="004865A1"/>
    <w:rsid w:val="00486AF2"/>
    <w:rsid w:val="00486DA0"/>
    <w:rsid w:val="004870C2"/>
    <w:rsid w:val="00487102"/>
    <w:rsid w:val="004871E5"/>
    <w:rsid w:val="00487BB5"/>
    <w:rsid w:val="00487DC1"/>
    <w:rsid w:val="0049001C"/>
    <w:rsid w:val="0049145F"/>
    <w:rsid w:val="004917D4"/>
    <w:rsid w:val="00492568"/>
    <w:rsid w:val="004925D4"/>
    <w:rsid w:val="00492FD5"/>
    <w:rsid w:val="00494097"/>
    <w:rsid w:val="00494241"/>
    <w:rsid w:val="00495430"/>
    <w:rsid w:val="00495EF5"/>
    <w:rsid w:val="00496296"/>
    <w:rsid w:val="00496741"/>
    <w:rsid w:val="00496A97"/>
    <w:rsid w:val="00496CF0"/>
    <w:rsid w:val="00497755"/>
    <w:rsid w:val="00497DF8"/>
    <w:rsid w:val="00497E45"/>
    <w:rsid w:val="004A057C"/>
    <w:rsid w:val="004A09D8"/>
    <w:rsid w:val="004A17E8"/>
    <w:rsid w:val="004A197B"/>
    <w:rsid w:val="004A1CE2"/>
    <w:rsid w:val="004A268B"/>
    <w:rsid w:val="004A3093"/>
    <w:rsid w:val="004A3504"/>
    <w:rsid w:val="004A3513"/>
    <w:rsid w:val="004A37C0"/>
    <w:rsid w:val="004A3CE2"/>
    <w:rsid w:val="004A3D4F"/>
    <w:rsid w:val="004A419B"/>
    <w:rsid w:val="004A42D8"/>
    <w:rsid w:val="004A47CE"/>
    <w:rsid w:val="004A55A7"/>
    <w:rsid w:val="004A5B3D"/>
    <w:rsid w:val="004A5D2B"/>
    <w:rsid w:val="004A5E39"/>
    <w:rsid w:val="004A611D"/>
    <w:rsid w:val="004A647D"/>
    <w:rsid w:val="004A7ACC"/>
    <w:rsid w:val="004A7B6A"/>
    <w:rsid w:val="004A7D75"/>
    <w:rsid w:val="004B147B"/>
    <w:rsid w:val="004B1572"/>
    <w:rsid w:val="004B15E2"/>
    <w:rsid w:val="004B2698"/>
    <w:rsid w:val="004B27F6"/>
    <w:rsid w:val="004B40ED"/>
    <w:rsid w:val="004B5133"/>
    <w:rsid w:val="004B517D"/>
    <w:rsid w:val="004B5645"/>
    <w:rsid w:val="004B5CC1"/>
    <w:rsid w:val="004B5D64"/>
    <w:rsid w:val="004B64DA"/>
    <w:rsid w:val="004B684A"/>
    <w:rsid w:val="004B6DB9"/>
    <w:rsid w:val="004B7293"/>
    <w:rsid w:val="004C0C3C"/>
    <w:rsid w:val="004C0DB1"/>
    <w:rsid w:val="004C25B8"/>
    <w:rsid w:val="004C3A06"/>
    <w:rsid w:val="004C4F30"/>
    <w:rsid w:val="004C5CA2"/>
    <w:rsid w:val="004C5F87"/>
    <w:rsid w:val="004C75CD"/>
    <w:rsid w:val="004D0329"/>
    <w:rsid w:val="004D28C3"/>
    <w:rsid w:val="004D2BA1"/>
    <w:rsid w:val="004D2E94"/>
    <w:rsid w:val="004D3124"/>
    <w:rsid w:val="004D36C4"/>
    <w:rsid w:val="004D4A4F"/>
    <w:rsid w:val="004D4D69"/>
    <w:rsid w:val="004D4FD7"/>
    <w:rsid w:val="004D4FE2"/>
    <w:rsid w:val="004D51C0"/>
    <w:rsid w:val="004D60D8"/>
    <w:rsid w:val="004D66F7"/>
    <w:rsid w:val="004D7321"/>
    <w:rsid w:val="004D78DA"/>
    <w:rsid w:val="004D7D47"/>
    <w:rsid w:val="004E0064"/>
    <w:rsid w:val="004E0ADF"/>
    <w:rsid w:val="004E161F"/>
    <w:rsid w:val="004E1C06"/>
    <w:rsid w:val="004E2539"/>
    <w:rsid w:val="004E3790"/>
    <w:rsid w:val="004E3C23"/>
    <w:rsid w:val="004E3FAF"/>
    <w:rsid w:val="004E4484"/>
    <w:rsid w:val="004E4BA2"/>
    <w:rsid w:val="004E50B6"/>
    <w:rsid w:val="004E5593"/>
    <w:rsid w:val="004E5943"/>
    <w:rsid w:val="004E5BC0"/>
    <w:rsid w:val="004E5C6D"/>
    <w:rsid w:val="004E60E9"/>
    <w:rsid w:val="004E6798"/>
    <w:rsid w:val="004E6BAA"/>
    <w:rsid w:val="004E6DB0"/>
    <w:rsid w:val="004E73CD"/>
    <w:rsid w:val="004E753D"/>
    <w:rsid w:val="004F0687"/>
    <w:rsid w:val="004F1EDB"/>
    <w:rsid w:val="004F3A0A"/>
    <w:rsid w:val="004F3B32"/>
    <w:rsid w:val="004F3C2B"/>
    <w:rsid w:val="004F4109"/>
    <w:rsid w:val="004F4B7C"/>
    <w:rsid w:val="004F5801"/>
    <w:rsid w:val="004F6090"/>
    <w:rsid w:val="004F61B7"/>
    <w:rsid w:val="004F6593"/>
    <w:rsid w:val="004F69B0"/>
    <w:rsid w:val="004F6FCB"/>
    <w:rsid w:val="004F774D"/>
    <w:rsid w:val="00500F41"/>
    <w:rsid w:val="00501231"/>
    <w:rsid w:val="00501A0E"/>
    <w:rsid w:val="00501C9F"/>
    <w:rsid w:val="00501D8C"/>
    <w:rsid w:val="005020C8"/>
    <w:rsid w:val="005022A7"/>
    <w:rsid w:val="00502814"/>
    <w:rsid w:val="00502A26"/>
    <w:rsid w:val="00502ADF"/>
    <w:rsid w:val="00502D34"/>
    <w:rsid w:val="00502EE0"/>
    <w:rsid w:val="00503404"/>
    <w:rsid w:val="00503B8E"/>
    <w:rsid w:val="00504721"/>
    <w:rsid w:val="00505B4C"/>
    <w:rsid w:val="0050653E"/>
    <w:rsid w:val="005066C1"/>
    <w:rsid w:val="005074E4"/>
    <w:rsid w:val="00510D21"/>
    <w:rsid w:val="00511019"/>
    <w:rsid w:val="00512DFD"/>
    <w:rsid w:val="00512F3B"/>
    <w:rsid w:val="0051311B"/>
    <w:rsid w:val="00513544"/>
    <w:rsid w:val="00513A92"/>
    <w:rsid w:val="00514818"/>
    <w:rsid w:val="005157BC"/>
    <w:rsid w:val="00516012"/>
    <w:rsid w:val="005168DD"/>
    <w:rsid w:val="0051690A"/>
    <w:rsid w:val="00516AFC"/>
    <w:rsid w:val="00517285"/>
    <w:rsid w:val="00517542"/>
    <w:rsid w:val="00517558"/>
    <w:rsid w:val="00517DA0"/>
    <w:rsid w:val="00520EB0"/>
    <w:rsid w:val="00521AB5"/>
    <w:rsid w:val="00521C25"/>
    <w:rsid w:val="00522B85"/>
    <w:rsid w:val="00522D86"/>
    <w:rsid w:val="00523805"/>
    <w:rsid w:val="00523C5F"/>
    <w:rsid w:val="00523E98"/>
    <w:rsid w:val="00524B9F"/>
    <w:rsid w:val="00524E90"/>
    <w:rsid w:val="00525048"/>
    <w:rsid w:val="005257CE"/>
    <w:rsid w:val="00525EC1"/>
    <w:rsid w:val="0052706B"/>
    <w:rsid w:val="0052712B"/>
    <w:rsid w:val="0053041F"/>
    <w:rsid w:val="005305D9"/>
    <w:rsid w:val="00531084"/>
    <w:rsid w:val="00531173"/>
    <w:rsid w:val="005311D6"/>
    <w:rsid w:val="005314B3"/>
    <w:rsid w:val="0053183E"/>
    <w:rsid w:val="0053395C"/>
    <w:rsid w:val="00533A3D"/>
    <w:rsid w:val="00533AD1"/>
    <w:rsid w:val="00534083"/>
    <w:rsid w:val="005340CF"/>
    <w:rsid w:val="005346BE"/>
    <w:rsid w:val="0053485F"/>
    <w:rsid w:val="00534F77"/>
    <w:rsid w:val="0053500E"/>
    <w:rsid w:val="005353A9"/>
    <w:rsid w:val="005357E4"/>
    <w:rsid w:val="00535FDA"/>
    <w:rsid w:val="00536E90"/>
    <w:rsid w:val="00536FAD"/>
    <w:rsid w:val="0053767E"/>
    <w:rsid w:val="005377BE"/>
    <w:rsid w:val="00537C92"/>
    <w:rsid w:val="005401C2"/>
    <w:rsid w:val="00540684"/>
    <w:rsid w:val="00541318"/>
    <w:rsid w:val="005419E5"/>
    <w:rsid w:val="00542747"/>
    <w:rsid w:val="0054288D"/>
    <w:rsid w:val="00542DF2"/>
    <w:rsid w:val="00543041"/>
    <w:rsid w:val="00543F72"/>
    <w:rsid w:val="00543F9A"/>
    <w:rsid w:val="005442D9"/>
    <w:rsid w:val="00544B54"/>
    <w:rsid w:val="00544BEA"/>
    <w:rsid w:val="00544FCF"/>
    <w:rsid w:val="00545A8B"/>
    <w:rsid w:val="00546195"/>
    <w:rsid w:val="005506F2"/>
    <w:rsid w:val="00551690"/>
    <w:rsid w:val="00551DE5"/>
    <w:rsid w:val="00552471"/>
    <w:rsid w:val="005524BA"/>
    <w:rsid w:val="0055274E"/>
    <w:rsid w:val="00552B27"/>
    <w:rsid w:val="005534BC"/>
    <w:rsid w:val="00553756"/>
    <w:rsid w:val="00553EF1"/>
    <w:rsid w:val="00554A32"/>
    <w:rsid w:val="00554E68"/>
    <w:rsid w:val="00554F6C"/>
    <w:rsid w:val="00555492"/>
    <w:rsid w:val="005558F5"/>
    <w:rsid w:val="00555BA6"/>
    <w:rsid w:val="00555C75"/>
    <w:rsid w:val="00557291"/>
    <w:rsid w:val="00557552"/>
    <w:rsid w:val="00557CC1"/>
    <w:rsid w:val="005614A7"/>
    <w:rsid w:val="00561F0E"/>
    <w:rsid w:val="00562126"/>
    <w:rsid w:val="0056254C"/>
    <w:rsid w:val="005629A5"/>
    <w:rsid w:val="00562C0E"/>
    <w:rsid w:val="0056379F"/>
    <w:rsid w:val="00563C0A"/>
    <w:rsid w:val="0056428A"/>
    <w:rsid w:val="0056465A"/>
    <w:rsid w:val="00564960"/>
    <w:rsid w:val="005651D0"/>
    <w:rsid w:val="00567751"/>
    <w:rsid w:val="00570B85"/>
    <w:rsid w:val="00571238"/>
    <w:rsid w:val="00571584"/>
    <w:rsid w:val="00572637"/>
    <w:rsid w:val="00573E49"/>
    <w:rsid w:val="00574178"/>
    <w:rsid w:val="00574506"/>
    <w:rsid w:val="005747B2"/>
    <w:rsid w:val="00575963"/>
    <w:rsid w:val="00575AF9"/>
    <w:rsid w:val="00575B5B"/>
    <w:rsid w:val="005761CB"/>
    <w:rsid w:val="00576442"/>
    <w:rsid w:val="00576518"/>
    <w:rsid w:val="00576540"/>
    <w:rsid w:val="0057674F"/>
    <w:rsid w:val="005769B5"/>
    <w:rsid w:val="00576A01"/>
    <w:rsid w:val="00577452"/>
    <w:rsid w:val="00577C0E"/>
    <w:rsid w:val="0058021A"/>
    <w:rsid w:val="00580F42"/>
    <w:rsid w:val="005812CF"/>
    <w:rsid w:val="0058144F"/>
    <w:rsid w:val="00581DE9"/>
    <w:rsid w:val="0058238E"/>
    <w:rsid w:val="00582CF9"/>
    <w:rsid w:val="00583C5F"/>
    <w:rsid w:val="00584DA6"/>
    <w:rsid w:val="00585536"/>
    <w:rsid w:val="00585D58"/>
    <w:rsid w:val="00586B30"/>
    <w:rsid w:val="00587037"/>
    <w:rsid w:val="005871C7"/>
    <w:rsid w:val="005879F8"/>
    <w:rsid w:val="00587ACB"/>
    <w:rsid w:val="00590547"/>
    <w:rsid w:val="00590716"/>
    <w:rsid w:val="0059102E"/>
    <w:rsid w:val="0059193C"/>
    <w:rsid w:val="00591E8A"/>
    <w:rsid w:val="00592671"/>
    <w:rsid w:val="00592AC6"/>
    <w:rsid w:val="00593204"/>
    <w:rsid w:val="0059395C"/>
    <w:rsid w:val="00594B44"/>
    <w:rsid w:val="005968F9"/>
    <w:rsid w:val="00596A9B"/>
    <w:rsid w:val="00597418"/>
    <w:rsid w:val="005A0737"/>
    <w:rsid w:val="005A185C"/>
    <w:rsid w:val="005A1896"/>
    <w:rsid w:val="005A218A"/>
    <w:rsid w:val="005A239F"/>
    <w:rsid w:val="005A2534"/>
    <w:rsid w:val="005A36CA"/>
    <w:rsid w:val="005A3C84"/>
    <w:rsid w:val="005A3EE8"/>
    <w:rsid w:val="005A3EEC"/>
    <w:rsid w:val="005A4340"/>
    <w:rsid w:val="005A4832"/>
    <w:rsid w:val="005A499B"/>
    <w:rsid w:val="005A4E03"/>
    <w:rsid w:val="005A59B7"/>
    <w:rsid w:val="005A606A"/>
    <w:rsid w:val="005A652F"/>
    <w:rsid w:val="005A6E51"/>
    <w:rsid w:val="005A7003"/>
    <w:rsid w:val="005B0885"/>
    <w:rsid w:val="005B09BD"/>
    <w:rsid w:val="005B1C2C"/>
    <w:rsid w:val="005B1EC5"/>
    <w:rsid w:val="005B1F22"/>
    <w:rsid w:val="005B21A4"/>
    <w:rsid w:val="005B245C"/>
    <w:rsid w:val="005B260A"/>
    <w:rsid w:val="005B26C5"/>
    <w:rsid w:val="005B2F18"/>
    <w:rsid w:val="005B3544"/>
    <w:rsid w:val="005B3578"/>
    <w:rsid w:val="005B3FFD"/>
    <w:rsid w:val="005B432F"/>
    <w:rsid w:val="005B4694"/>
    <w:rsid w:val="005B5502"/>
    <w:rsid w:val="005B5518"/>
    <w:rsid w:val="005B61E4"/>
    <w:rsid w:val="005B640F"/>
    <w:rsid w:val="005B6918"/>
    <w:rsid w:val="005B693B"/>
    <w:rsid w:val="005B6964"/>
    <w:rsid w:val="005B69C2"/>
    <w:rsid w:val="005B6FCA"/>
    <w:rsid w:val="005B77F6"/>
    <w:rsid w:val="005B7AAC"/>
    <w:rsid w:val="005B7C20"/>
    <w:rsid w:val="005C0660"/>
    <w:rsid w:val="005C1368"/>
    <w:rsid w:val="005C1429"/>
    <w:rsid w:val="005C1842"/>
    <w:rsid w:val="005C1B86"/>
    <w:rsid w:val="005C3CFA"/>
    <w:rsid w:val="005C41A5"/>
    <w:rsid w:val="005C45A2"/>
    <w:rsid w:val="005C50B5"/>
    <w:rsid w:val="005C526B"/>
    <w:rsid w:val="005C56FD"/>
    <w:rsid w:val="005C58E9"/>
    <w:rsid w:val="005C5C1D"/>
    <w:rsid w:val="005C5FD6"/>
    <w:rsid w:val="005C6A26"/>
    <w:rsid w:val="005C6EB3"/>
    <w:rsid w:val="005C73A0"/>
    <w:rsid w:val="005C74E0"/>
    <w:rsid w:val="005C74E7"/>
    <w:rsid w:val="005C75A7"/>
    <w:rsid w:val="005C788F"/>
    <w:rsid w:val="005D051F"/>
    <w:rsid w:val="005D109D"/>
    <w:rsid w:val="005D1139"/>
    <w:rsid w:val="005D1E54"/>
    <w:rsid w:val="005D2565"/>
    <w:rsid w:val="005D27BD"/>
    <w:rsid w:val="005D2C08"/>
    <w:rsid w:val="005D358A"/>
    <w:rsid w:val="005D35D1"/>
    <w:rsid w:val="005D4DC1"/>
    <w:rsid w:val="005D5D1F"/>
    <w:rsid w:val="005D628A"/>
    <w:rsid w:val="005D6851"/>
    <w:rsid w:val="005D6A72"/>
    <w:rsid w:val="005D7C6C"/>
    <w:rsid w:val="005E0C20"/>
    <w:rsid w:val="005E1582"/>
    <w:rsid w:val="005E1792"/>
    <w:rsid w:val="005E2BAE"/>
    <w:rsid w:val="005E2BB7"/>
    <w:rsid w:val="005E310A"/>
    <w:rsid w:val="005E3362"/>
    <w:rsid w:val="005E4159"/>
    <w:rsid w:val="005E5536"/>
    <w:rsid w:val="005E5C0C"/>
    <w:rsid w:val="005E5CA9"/>
    <w:rsid w:val="005E61B0"/>
    <w:rsid w:val="005E7757"/>
    <w:rsid w:val="005E7A84"/>
    <w:rsid w:val="005E7B9E"/>
    <w:rsid w:val="005F0118"/>
    <w:rsid w:val="005F149C"/>
    <w:rsid w:val="005F17D2"/>
    <w:rsid w:val="005F1A6E"/>
    <w:rsid w:val="005F2140"/>
    <w:rsid w:val="005F28F5"/>
    <w:rsid w:val="005F2C48"/>
    <w:rsid w:val="005F3D61"/>
    <w:rsid w:val="005F44BB"/>
    <w:rsid w:val="005F4BF4"/>
    <w:rsid w:val="005F508D"/>
    <w:rsid w:val="005F58C8"/>
    <w:rsid w:val="005F6808"/>
    <w:rsid w:val="005F77A3"/>
    <w:rsid w:val="00600204"/>
    <w:rsid w:val="006006C6"/>
    <w:rsid w:val="00600BE8"/>
    <w:rsid w:val="00600D9D"/>
    <w:rsid w:val="006038F8"/>
    <w:rsid w:val="00604B19"/>
    <w:rsid w:val="00605A97"/>
    <w:rsid w:val="00606210"/>
    <w:rsid w:val="0060621A"/>
    <w:rsid w:val="006062E9"/>
    <w:rsid w:val="00606C89"/>
    <w:rsid w:val="00606E88"/>
    <w:rsid w:val="00607074"/>
    <w:rsid w:val="006072FD"/>
    <w:rsid w:val="00607E25"/>
    <w:rsid w:val="006102F5"/>
    <w:rsid w:val="006103BC"/>
    <w:rsid w:val="00610CB6"/>
    <w:rsid w:val="006112B2"/>
    <w:rsid w:val="00611D21"/>
    <w:rsid w:val="006129C7"/>
    <w:rsid w:val="00612D6F"/>
    <w:rsid w:val="00614CC8"/>
    <w:rsid w:val="0061503B"/>
    <w:rsid w:val="0061536C"/>
    <w:rsid w:val="00616610"/>
    <w:rsid w:val="00616A1B"/>
    <w:rsid w:val="0062091E"/>
    <w:rsid w:val="00620ABA"/>
    <w:rsid w:val="00620D49"/>
    <w:rsid w:val="0062222C"/>
    <w:rsid w:val="00622CBC"/>
    <w:rsid w:val="00622F46"/>
    <w:rsid w:val="0062384C"/>
    <w:rsid w:val="0062402C"/>
    <w:rsid w:val="00624342"/>
    <w:rsid w:val="006252CE"/>
    <w:rsid w:val="00625311"/>
    <w:rsid w:val="00625D0A"/>
    <w:rsid w:val="006264EF"/>
    <w:rsid w:val="0062683B"/>
    <w:rsid w:val="006278EC"/>
    <w:rsid w:val="00627D71"/>
    <w:rsid w:val="00630B2E"/>
    <w:rsid w:val="00631693"/>
    <w:rsid w:val="00631ACF"/>
    <w:rsid w:val="00631EAD"/>
    <w:rsid w:val="00632457"/>
    <w:rsid w:val="00632CF3"/>
    <w:rsid w:val="00633631"/>
    <w:rsid w:val="00633827"/>
    <w:rsid w:val="00633A2F"/>
    <w:rsid w:val="00633D1D"/>
    <w:rsid w:val="006343A3"/>
    <w:rsid w:val="00634C7C"/>
    <w:rsid w:val="00634EFE"/>
    <w:rsid w:val="00635105"/>
    <w:rsid w:val="006357AA"/>
    <w:rsid w:val="006359CE"/>
    <w:rsid w:val="0063644B"/>
    <w:rsid w:val="00636748"/>
    <w:rsid w:val="006376F1"/>
    <w:rsid w:val="00637CCB"/>
    <w:rsid w:val="0064014D"/>
    <w:rsid w:val="00641429"/>
    <w:rsid w:val="00641675"/>
    <w:rsid w:val="00642E7F"/>
    <w:rsid w:val="006439F4"/>
    <w:rsid w:val="00643C61"/>
    <w:rsid w:val="00643F8B"/>
    <w:rsid w:val="006440B9"/>
    <w:rsid w:val="006447FA"/>
    <w:rsid w:val="006451C7"/>
    <w:rsid w:val="00645585"/>
    <w:rsid w:val="00646459"/>
    <w:rsid w:val="00646542"/>
    <w:rsid w:val="006465D3"/>
    <w:rsid w:val="00647A4E"/>
    <w:rsid w:val="00647D89"/>
    <w:rsid w:val="00650263"/>
    <w:rsid w:val="0065028B"/>
    <w:rsid w:val="0065064E"/>
    <w:rsid w:val="006508E2"/>
    <w:rsid w:val="00652165"/>
    <w:rsid w:val="006529A7"/>
    <w:rsid w:val="00653A1B"/>
    <w:rsid w:val="00653AAC"/>
    <w:rsid w:val="00653F19"/>
    <w:rsid w:val="006546A9"/>
    <w:rsid w:val="00654845"/>
    <w:rsid w:val="00654A4F"/>
    <w:rsid w:val="00654E8B"/>
    <w:rsid w:val="006557C7"/>
    <w:rsid w:val="00656375"/>
    <w:rsid w:val="00656D19"/>
    <w:rsid w:val="00657C23"/>
    <w:rsid w:val="00660076"/>
    <w:rsid w:val="006600C4"/>
    <w:rsid w:val="00660D27"/>
    <w:rsid w:val="006616E7"/>
    <w:rsid w:val="00661E4D"/>
    <w:rsid w:val="00662D41"/>
    <w:rsid w:val="00662D54"/>
    <w:rsid w:val="006630CE"/>
    <w:rsid w:val="0066312F"/>
    <w:rsid w:val="006631A5"/>
    <w:rsid w:val="006632B6"/>
    <w:rsid w:val="0066350C"/>
    <w:rsid w:val="00664795"/>
    <w:rsid w:val="00665C18"/>
    <w:rsid w:val="00665E82"/>
    <w:rsid w:val="00665EC4"/>
    <w:rsid w:val="00666850"/>
    <w:rsid w:val="00670743"/>
    <w:rsid w:val="0067078A"/>
    <w:rsid w:val="006712E5"/>
    <w:rsid w:val="006716DC"/>
    <w:rsid w:val="00671B2B"/>
    <w:rsid w:val="00671D6E"/>
    <w:rsid w:val="00671EAC"/>
    <w:rsid w:val="00672D58"/>
    <w:rsid w:val="00673560"/>
    <w:rsid w:val="0067356E"/>
    <w:rsid w:val="006748A8"/>
    <w:rsid w:val="00674BC6"/>
    <w:rsid w:val="00675F4E"/>
    <w:rsid w:val="00676480"/>
    <w:rsid w:val="00676F40"/>
    <w:rsid w:val="006771AD"/>
    <w:rsid w:val="006771F0"/>
    <w:rsid w:val="00680ACD"/>
    <w:rsid w:val="006818F2"/>
    <w:rsid w:val="00681B85"/>
    <w:rsid w:val="006826A0"/>
    <w:rsid w:val="006829BA"/>
    <w:rsid w:val="00683AD1"/>
    <w:rsid w:val="00683BCF"/>
    <w:rsid w:val="00684598"/>
    <w:rsid w:val="00684E3E"/>
    <w:rsid w:val="006853D1"/>
    <w:rsid w:val="0068553A"/>
    <w:rsid w:val="006858C2"/>
    <w:rsid w:val="00685E39"/>
    <w:rsid w:val="0068618B"/>
    <w:rsid w:val="0068715F"/>
    <w:rsid w:val="0068775F"/>
    <w:rsid w:val="00687CFA"/>
    <w:rsid w:val="006902A5"/>
    <w:rsid w:val="006907AE"/>
    <w:rsid w:val="00690D36"/>
    <w:rsid w:val="006912E2"/>
    <w:rsid w:val="0069146E"/>
    <w:rsid w:val="0069179B"/>
    <w:rsid w:val="00692192"/>
    <w:rsid w:val="006923CB"/>
    <w:rsid w:val="0069257A"/>
    <w:rsid w:val="006925C5"/>
    <w:rsid w:val="00692F8C"/>
    <w:rsid w:val="00694B9F"/>
    <w:rsid w:val="00694DC4"/>
    <w:rsid w:val="00696A8C"/>
    <w:rsid w:val="00697207"/>
    <w:rsid w:val="00697467"/>
    <w:rsid w:val="006A0B37"/>
    <w:rsid w:val="006A0E50"/>
    <w:rsid w:val="006A0F1F"/>
    <w:rsid w:val="006A1C20"/>
    <w:rsid w:val="006A1FB0"/>
    <w:rsid w:val="006A272E"/>
    <w:rsid w:val="006A2884"/>
    <w:rsid w:val="006A2D6A"/>
    <w:rsid w:val="006A2DFB"/>
    <w:rsid w:val="006A3ABE"/>
    <w:rsid w:val="006A3B9A"/>
    <w:rsid w:val="006A3EB0"/>
    <w:rsid w:val="006A4A47"/>
    <w:rsid w:val="006A5D35"/>
    <w:rsid w:val="006A633D"/>
    <w:rsid w:val="006A6782"/>
    <w:rsid w:val="006A6B4A"/>
    <w:rsid w:val="006A788E"/>
    <w:rsid w:val="006B142C"/>
    <w:rsid w:val="006B1556"/>
    <w:rsid w:val="006B25D6"/>
    <w:rsid w:val="006B2756"/>
    <w:rsid w:val="006B3023"/>
    <w:rsid w:val="006B3110"/>
    <w:rsid w:val="006B3DF1"/>
    <w:rsid w:val="006B3E23"/>
    <w:rsid w:val="006B48FA"/>
    <w:rsid w:val="006B4A89"/>
    <w:rsid w:val="006B4F86"/>
    <w:rsid w:val="006B505B"/>
    <w:rsid w:val="006B5115"/>
    <w:rsid w:val="006B52C5"/>
    <w:rsid w:val="006B5BAA"/>
    <w:rsid w:val="006B5E01"/>
    <w:rsid w:val="006B5F90"/>
    <w:rsid w:val="006B6415"/>
    <w:rsid w:val="006B6E4C"/>
    <w:rsid w:val="006B6EE4"/>
    <w:rsid w:val="006B7088"/>
    <w:rsid w:val="006B718E"/>
    <w:rsid w:val="006B7388"/>
    <w:rsid w:val="006B76A0"/>
    <w:rsid w:val="006C2087"/>
    <w:rsid w:val="006C2420"/>
    <w:rsid w:val="006C2C99"/>
    <w:rsid w:val="006C2EBC"/>
    <w:rsid w:val="006C367B"/>
    <w:rsid w:val="006C3F1D"/>
    <w:rsid w:val="006C4178"/>
    <w:rsid w:val="006C480A"/>
    <w:rsid w:val="006C48D2"/>
    <w:rsid w:val="006C552E"/>
    <w:rsid w:val="006C56AD"/>
    <w:rsid w:val="006C56BA"/>
    <w:rsid w:val="006C5DE1"/>
    <w:rsid w:val="006C64F2"/>
    <w:rsid w:val="006C6554"/>
    <w:rsid w:val="006C6D03"/>
    <w:rsid w:val="006C790D"/>
    <w:rsid w:val="006D01EA"/>
    <w:rsid w:val="006D0BF2"/>
    <w:rsid w:val="006D1FE2"/>
    <w:rsid w:val="006D32EB"/>
    <w:rsid w:val="006D348C"/>
    <w:rsid w:val="006D4776"/>
    <w:rsid w:val="006D4B21"/>
    <w:rsid w:val="006D576B"/>
    <w:rsid w:val="006D65BA"/>
    <w:rsid w:val="006D791B"/>
    <w:rsid w:val="006D7A9A"/>
    <w:rsid w:val="006D7CCB"/>
    <w:rsid w:val="006E0EED"/>
    <w:rsid w:val="006E0FCB"/>
    <w:rsid w:val="006E12F3"/>
    <w:rsid w:val="006E181C"/>
    <w:rsid w:val="006E1C42"/>
    <w:rsid w:val="006E24F2"/>
    <w:rsid w:val="006E258C"/>
    <w:rsid w:val="006E2C53"/>
    <w:rsid w:val="006E3063"/>
    <w:rsid w:val="006E35E2"/>
    <w:rsid w:val="006E380F"/>
    <w:rsid w:val="006E3ED4"/>
    <w:rsid w:val="006E40F8"/>
    <w:rsid w:val="006E4D6D"/>
    <w:rsid w:val="006E5F23"/>
    <w:rsid w:val="006E5F38"/>
    <w:rsid w:val="006E638F"/>
    <w:rsid w:val="006E6958"/>
    <w:rsid w:val="006E69FB"/>
    <w:rsid w:val="006E6C77"/>
    <w:rsid w:val="006E74EA"/>
    <w:rsid w:val="006F08C2"/>
    <w:rsid w:val="006F0977"/>
    <w:rsid w:val="006F112C"/>
    <w:rsid w:val="006F1D32"/>
    <w:rsid w:val="006F1D3B"/>
    <w:rsid w:val="006F3931"/>
    <w:rsid w:val="006F395A"/>
    <w:rsid w:val="006F4D13"/>
    <w:rsid w:val="006F4DC9"/>
    <w:rsid w:val="006F4DD6"/>
    <w:rsid w:val="006F7061"/>
    <w:rsid w:val="006F711D"/>
    <w:rsid w:val="006F71A3"/>
    <w:rsid w:val="006F7687"/>
    <w:rsid w:val="006F7F7F"/>
    <w:rsid w:val="00700063"/>
    <w:rsid w:val="00701307"/>
    <w:rsid w:val="00701703"/>
    <w:rsid w:val="00701D17"/>
    <w:rsid w:val="00702F3B"/>
    <w:rsid w:val="00703738"/>
    <w:rsid w:val="00703B48"/>
    <w:rsid w:val="007043CE"/>
    <w:rsid w:val="00704E2C"/>
    <w:rsid w:val="0070535F"/>
    <w:rsid w:val="00705890"/>
    <w:rsid w:val="0070591E"/>
    <w:rsid w:val="00705ADB"/>
    <w:rsid w:val="00706054"/>
    <w:rsid w:val="0070716F"/>
    <w:rsid w:val="0071061B"/>
    <w:rsid w:val="00710E12"/>
    <w:rsid w:val="0071222C"/>
    <w:rsid w:val="0071226D"/>
    <w:rsid w:val="007134F2"/>
    <w:rsid w:val="00714194"/>
    <w:rsid w:val="00714800"/>
    <w:rsid w:val="00714A6D"/>
    <w:rsid w:val="00714A9E"/>
    <w:rsid w:val="00714FA9"/>
    <w:rsid w:val="007160D2"/>
    <w:rsid w:val="00716B05"/>
    <w:rsid w:val="007176F6"/>
    <w:rsid w:val="00720C03"/>
    <w:rsid w:val="00720F9B"/>
    <w:rsid w:val="00721AA4"/>
    <w:rsid w:val="0072217C"/>
    <w:rsid w:val="00722D58"/>
    <w:rsid w:val="007230EC"/>
    <w:rsid w:val="00723951"/>
    <w:rsid w:val="00723E1B"/>
    <w:rsid w:val="00724315"/>
    <w:rsid w:val="00724330"/>
    <w:rsid w:val="0072469A"/>
    <w:rsid w:val="00724CB1"/>
    <w:rsid w:val="00724D09"/>
    <w:rsid w:val="007250DD"/>
    <w:rsid w:val="007255B7"/>
    <w:rsid w:val="007260E2"/>
    <w:rsid w:val="00726883"/>
    <w:rsid w:val="007268E0"/>
    <w:rsid w:val="0072779B"/>
    <w:rsid w:val="00727829"/>
    <w:rsid w:val="007301B5"/>
    <w:rsid w:val="007307C1"/>
    <w:rsid w:val="00731C93"/>
    <w:rsid w:val="00731EAC"/>
    <w:rsid w:val="00731F6D"/>
    <w:rsid w:val="00731F75"/>
    <w:rsid w:val="007322CC"/>
    <w:rsid w:val="00732450"/>
    <w:rsid w:val="007324D8"/>
    <w:rsid w:val="0073278D"/>
    <w:rsid w:val="007337E3"/>
    <w:rsid w:val="00735A1C"/>
    <w:rsid w:val="0073728C"/>
    <w:rsid w:val="00740A2E"/>
    <w:rsid w:val="00741622"/>
    <w:rsid w:val="00741BF7"/>
    <w:rsid w:val="00742FA1"/>
    <w:rsid w:val="0074387F"/>
    <w:rsid w:val="007439D2"/>
    <w:rsid w:val="007442F4"/>
    <w:rsid w:val="00744423"/>
    <w:rsid w:val="00745188"/>
    <w:rsid w:val="007454F6"/>
    <w:rsid w:val="00745D6A"/>
    <w:rsid w:val="0074639D"/>
    <w:rsid w:val="00746600"/>
    <w:rsid w:val="00746ED7"/>
    <w:rsid w:val="00747561"/>
    <w:rsid w:val="00747CF7"/>
    <w:rsid w:val="00747DA7"/>
    <w:rsid w:val="0075111A"/>
    <w:rsid w:val="007519B8"/>
    <w:rsid w:val="007519F6"/>
    <w:rsid w:val="00751FE4"/>
    <w:rsid w:val="00752406"/>
    <w:rsid w:val="0075258C"/>
    <w:rsid w:val="007525C5"/>
    <w:rsid w:val="007528A7"/>
    <w:rsid w:val="00752976"/>
    <w:rsid w:val="00752E99"/>
    <w:rsid w:val="00753636"/>
    <w:rsid w:val="0075384A"/>
    <w:rsid w:val="00753F63"/>
    <w:rsid w:val="0075436B"/>
    <w:rsid w:val="007554E3"/>
    <w:rsid w:val="007567D4"/>
    <w:rsid w:val="00760662"/>
    <w:rsid w:val="007611FD"/>
    <w:rsid w:val="0076193C"/>
    <w:rsid w:val="00761A4D"/>
    <w:rsid w:val="00761CC0"/>
    <w:rsid w:val="00763BD2"/>
    <w:rsid w:val="00763DFA"/>
    <w:rsid w:val="007640D4"/>
    <w:rsid w:val="007641E9"/>
    <w:rsid w:val="0076572F"/>
    <w:rsid w:val="0076586D"/>
    <w:rsid w:val="00766F2A"/>
    <w:rsid w:val="0076746D"/>
    <w:rsid w:val="0076762F"/>
    <w:rsid w:val="00767DB4"/>
    <w:rsid w:val="007700E6"/>
    <w:rsid w:val="00770AD5"/>
    <w:rsid w:val="00770FB2"/>
    <w:rsid w:val="0077155F"/>
    <w:rsid w:val="00771993"/>
    <w:rsid w:val="0077215E"/>
    <w:rsid w:val="0077338D"/>
    <w:rsid w:val="00774159"/>
    <w:rsid w:val="00774252"/>
    <w:rsid w:val="00774254"/>
    <w:rsid w:val="00774491"/>
    <w:rsid w:val="0077494B"/>
    <w:rsid w:val="007755EA"/>
    <w:rsid w:val="00776096"/>
    <w:rsid w:val="0077624C"/>
    <w:rsid w:val="007762F4"/>
    <w:rsid w:val="00776857"/>
    <w:rsid w:val="00776E7E"/>
    <w:rsid w:val="00777D17"/>
    <w:rsid w:val="00777D42"/>
    <w:rsid w:val="00780F49"/>
    <w:rsid w:val="00781457"/>
    <w:rsid w:val="00781A94"/>
    <w:rsid w:val="00782057"/>
    <w:rsid w:val="0078275E"/>
    <w:rsid w:val="00783F99"/>
    <w:rsid w:val="0078445D"/>
    <w:rsid w:val="00784962"/>
    <w:rsid w:val="00784A79"/>
    <w:rsid w:val="00784D68"/>
    <w:rsid w:val="00785AE4"/>
    <w:rsid w:val="00785D0E"/>
    <w:rsid w:val="007863A3"/>
    <w:rsid w:val="00786F36"/>
    <w:rsid w:val="007877E9"/>
    <w:rsid w:val="00787BDB"/>
    <w:rsid w:val="00787C0E"/>
    <w:rsid w:val="007919A8"/>
    <w:rsid w:val="00791F63"/>
    <w:rsid w:val="007920DD"/>
    <w:rsid w:val="007920F4"/>
    <w:rsid w:val="00792AB7"/>
    <w:rsid w:val="00792CB1"/>
    <w:rsid w:val="007931FA"/>
    <w:rsid w:val="00793F9F"/>
    <w:rsid w:val="007941F5"/>
    <w:rsid w:val="0079467B"/>
    <w:rsid w:val="00795754"/>
    <w:rsid w:val="00795D00"/>
    <w:rsid w:val="00795F9A"/>
    <w:rsid w:val="00796020"/>
    <w:rsid w:val="00796F9E"/>
    <w:rsid w:val="00797846"/>
    <w:rsid w:val="007979F6"/>
    <w:rsid w:val="00797A63"/>
    <w:rsid w:val="007A0684"/>
    <w:rsid w:val="007A1CBC"/>
    <w:rsid w:val="007A22F2"/>
    <w:rsid w:val="007A2B5E"/>
    <w:rsid w:val="007A3104"/>
    <w:rsid w:val="007A3682"/>
    <w:rsid w:val="007A3E11"/>
    <w:rsid w:val="007A464A"/>
    <w:rsid w:val="007A4A04"/>
    <w:rsid w:val="007A4E26"/>
    <w:rsid w:val="007A52B6"/>
    <w:rsid w:val="007A56C5"/>
    <w:rsid w:val="007A5C5D"/>
    <w:rsid w:val="007A5CC7"/>
    <w:rsid w:val="007A70D2"/>
    <w:rsid w:val="007A7193"/>
    <w:rsid w:val="007A7D03"/>
    <w:rsid w:val="007B0A6C"/>
    <w:rsid w:val="007B1737"/>
    <w:rsid w:val="007B1DA4"/>
    <w:rsid w:val="007B2597"/>
    <w:rsid w:val="007B2AE1"/>
    <w:rsid w:val="007B35BC"/>
    <w:rsid w:val="007B3824"/>
    <w:rsid w:val="007B3B77"/>
    <w:rsid w:val="007B3BA2"/>
    <w:rsid w:val="007B4067"/>
    <w:rsid w:val="007B4224"/>
    <w:rsid w:val="007B53B2"/>
    <w:rsid w:val="007B5433"/>
    <w:rsid w:val="007B5834"/>
    <w:rsid w:val="007B5A73"/>
    <w:rsid w:val="007B5FA5"/>
    <w:rsid w:val="007B6296"/>
    <w:rsid w:val="007B6BAE"/>
    <w:rsid w:val="007B7F3D"/>
    <w:rsid w:val="007C0265"/>
    <w:rsid w:val="007C0475"/>
    <w:rsid w:val="007C0B51"/>
    <w:rsid w:val="007C14B0"/>
    <w:rsid w:val="007C1726"/>
    <w:rsid w:val="007C1739"/>
    <w:rsid w:val="007C26ED"/>
    <w:rsid w:val="007C2C9E"/>
    <w:rsid w:val="007C2E8A"/>
    <w:rsid w:val="007C3022"/>
    <w:rsid w:val="007C3A1C"/>
    <w:rsid w:val="007C3A55"/>
    <w:rsid w:val="007C51C3"/>
    <w:rsid w:val="007C51EE"/>
    <w:rsid w:val="007C5334"/>
    <w:rsid w:val="007C575F"/>
    <w:rsid w:val="007C76A6"/>
    <w:rsid w:val="007C78B1"/>
    <w:rsid w:val="007C7CB5"/>
    <w:rsid w:val="007D00BA"/>
    <w:rsid w:val="007D1157"/>
    <w:rsid w:val="007D163D"/>
    <w:rsid w:val="007D1B3D"/>
    <w:rsid w:val="007D3382"/>
    <w:rsid w:val="007D33B1"/>
    <w:rsid w:val="007D34D7"/>
    <w:rsid w:val="007D4763"/>
    <w:rsid w:val="007D4E36"/>
    <w:rsid w:val="007D691C"/>
    <w:rsid w:val="007D70C8"/>
    <w:rsid w:val="007D7659"/>
    <w:rsid w:val="007E040B"/>
    <w:rsid w:val="007E04BA"/>
    <w:rsid w:val="007E0797"/>
    <w:rsid w:val="007E0F1A"/>
    <w:rsid w:val="007E3889"/>
    <w:rsid w:val="007E4280"/>
    <w:rsid w:val="007E4B12"/>
    <w:rsid w:val="007E4CDB"/>
    <w:rsid w:val="007E4D74"/>
    <w:rsid w:val="007E4DBF"/>
    <w:rsid w:val="007E4EA3"/>
    <w:rsid w:val="007E52F4"/>
    <w:rsid w:val="007E5781"/>
    <w:rsid w:val="007E62DE"/>
    <w:rsid w:val="007E6E17"/>
    <w:rsid w:val="007E6F9B"/>
    <w:rsid w:val="007F055B"/>
    <w:rsid w:val="007F0EB7"/>
    <w:rsid w:val="007F1CC0"/>
    <w:rsid w:val="007F23F7"/>
    <w:rsid w:val="007F272C"/>
    <w:rsid w:val="007F2A1E"/>
    <w:rsid w:val="007F32F5"/>
    <w:rsid w:val="007F33F7"/>
    <w:rsid w:val="007F3F0F"/>
    <w:rsid w:val="007F46C7"/>
    <w:rsid w:val="007F6C3D"/>
    <w:rsid w:val="007F6D81"/>
    <w:rsid w:val="007F726D"/>
    <w:rsid w:val="007F7589"/>
    <w:rsid w:val="007F793D"/>
    <w:rsid w:val="007F7AE7"/>
    <w:rsid w:val="0080088B"/>
    <w:rsid w:val="00800CD1"/>
    <w:rsid w:val="00800D93"/>
    <w:rsid w:val="00802D8B"/>
    <w:rsid w:val="00802DF5"/>
    <w:rsid w:val="00803F31"/>
    <w:rsid w:val="00805ACD"/>
    <w:rsid w:val="00806674"/>
    <w:rsid w:val="00806EED"/>
    <w:rsid w:val="00807295"/>
    <w:rsid w:val="00810560"/>
    <w:rsid w:val="00810570"/>
    <w:rsid w:val="00812319"/>
    <w:rsid w:val="00812367"/>
    <w:rsid w:val="00812508"/>
    <w:rsid w:val="008129CD"/>
    <w:rsid w:val="00812B12"/>
    <w:rsid w:val="00813185"/>
    <w:rsid w:val="0081357B"/>
    <w:rsid w:val="00813B3B"/>
    <w:rsid w:val="008147C7"/>
    <w:rsid w:val="0081692D"/>
    <w:rsid w:val="00816CC7"/>
    <w:rsid w:val="008209D8"/>
    <w:rsid w:val="00820DDE"/>
    <w:rsid w:val="008211F0"/>
    <w:rsid w:val="0082172E"/>
    <w:rsid w:val="00821EFF"/>
    <w:rsid w:val="00822012"/>
    <w:rsid w:val="008222FD"/>
    <w:rsid w:val="00822575"/>
    <w:rsid w:val="00822CBA"/>
    <w:rsid w:val="00822E79"/>
    <w:rsid w:val="00823314"/>
    <w:rsid w:val="00823C67"/>
    <w:rsid w:val="00824E24"/>
    <w:rsid w:val="008250AB"/>
    <w:rsid w:val="008256DB"/>
    <w:rsid w:val="00825C87"/>
    <w:rsid w:val="00825CDC"/>
    <w:rsid w:val="00825CF5"/>
    <w:rsid w:val="00825E0C"/>
    <w:rsid w:val="00826176"/>
    <w:rsid w:val="00826783"/>
    <w:rsid w:val="0082679E"/>
    <w:rsid w:val="00826A50"/>
    <w:rsid w:val="00826C83"/>
    <w:rsid w:val="00826E26"/>
    <w:rsid w:val="008306B8"/>
    <w:rsid w:val="00830E3D"/>
    <w:rsid w:val="0083201F"/>
    <w:rsid w:val="00833173"/>
    <w:rsid w:val="008368F0"/>
    <w:rsid w:val="00836E9E"/>
    <w:rsid w:val="00837273"/>
    <w:rsid w:val="00837A70"/>
    <w:rsid w:val="00840258"/>
    <w:rsid w:val="0084098D"/>
    <w:rsid w:val="008411D4"/>
    <w:rsid w:val="00841638"/>
    <w:rsid w:val="00841D2C"/>
    <w:rsid w:val="0084267D"/>
    <w:rsid w:val="00843334"/>
    <w:rsid w:val="00843B59"/>
    <w:rsid w:val="00844000"/>
    <w:rsid w:val="008450A9"/>
    <w:rsid w:val="0084569C"/>
    <w:rsid w:val="00845AB1"/>
    <w:rsid w:val="00845E86"/>
    <w:rsid w:val="00847EE2"/>
    <w:rsid w:val="008504EA"/>
    <w:rsid w:val="0085064C"/>
    <w:rsid w:val="008507B2"/>
    <w:rsid w:val="00850DC2"/>
    <w:rsid w:val="00850FF5"/>
    <w:rsid w:val="008519A3"/>
    <w:rsid w:val="0085236D"/>
    <w:rsid w:val="00852508"/>
    <w:rsid w:val="00852592"/>
    <w:rsid w:val="00852743"/>
    <w:rsid w:val="00853203"/>
    <w:rsid w:val="008536EE"/>
    <w:rsid w:val="008539A8"/>
    <w:rsid w:val="008539CA"/>
    <w:rsid w:val="00854013"/>
    <w:rsid w:val="00854F21"/>
    <w:rsid w:val="00855B64"/>
    <w:rsid w:val="008567E2"/>
    <w:rsid w:val="00857733"/>
    <w:rsid w:val="0085798B"/>
    <w:rsid w:val="00860B48"/>
    <w:rsid w:val="0086188C"/>
    <w:rsid w:val="00861D49"/>
    <w:rsid w:val="008631DD"/>
    <w:rsid w:val="00863F5A"/>
    <w:rsid w:val="0086452B"/>
    <w:rsid w:val="00864826"/>
    <w:rsid w:val="00865284"/>
    <w:rsid w:val="00865510"/>
    <w:rsid w:val="00865C9D"/>
    <w:rsid w:val="008664D3"/>
    <w:rsid w:val="00866874"/>
    <w:rsid w:val="00866A3A"/>
    <w:rsid w:val="00866D83"/>
    <w:rsid w:val="00867BD1"/>
    <w:rsid w:val="00867D4E"/>
    <w:rsid w:val="008711EB"/>
    <w:rsid w:val="00871FD6"/>
    <w:rsid w:val="008722E3"/>
    <w:rsid w:val="008727CC"/>
    <w:rsid w:val="00872B71"/>
    <w:rsid w:val="00873170"/>
    <w:rsid w:val="008736D9"/>
    <w:rsid w:val="00873829"/>
    <w:rsid w:val="008748E1"/>
    <w:rsid w:val="00874978"/>
    <w:rsid w:val="0087509C"/>
    <w:rsid w:val="0087528B"/>
    <w:rsid w:val="008759B3"/>
    <w:rsid w:val="00875EB4"/>
    <w:rsid w:val="00876008"/>
    <w:rsid w:val="00876CDC"/>
    <w:rsid w:val="00876E0C"/>
    <w:rsid w:val="0087730C"/>
    <w:rsid w:val="008776B2"/>
    <w:rsid w:val="008777C6"/>
    <w:rsid w:val="008778B1"/>
    <w:rsid w:val="00877A32"/>
    <w:rsid w:val="00880F9F"/>
    <w:rsid w:val="00881311"/>
    <w:rsid w:val="008813A8"/>
    <w:rsid w:val="008816BC"/>
    <w:rsid w:val="00881B0A"/>
    <w:rsid w:val="008823F3"/>
    <w:rsid w:val="00882784"/>
    <w:rsid w:val="00882A29"/>
    <w:rsid w:val="008830D3"/>
    <w:rsid w:val="00883158"/>
    <w:rsid w:val="00883634"/>
    <w:rsid w:val="00883D82"/>
    <w:rsid w:val="00883D93"/>
    <w:rsid w:val="00883E7F"/>
    <w:rsid w:val="008849DD"/>
    <w:rsid w:val="00884FFA"/>
    <w:rsid w:val="0088553F"/>
    <w:rsid w:val="008857EF"/>
    <w:rsid w:val="00886315"/>
    <w:rsid w:val="00886478"/>
    <w:rsid w:val="0088696C"/>
    <w:rsid w:val="00886FD2"/>
    <w:rsid w:val="00890389"/>
    <w:rsid w:val="008909C9"/>
    <w:rsid w:val="00890DE8"/>
    <w:rsid w:val="0089102D"/>
    <w:rsid w:val="008911F7"/>
    <w:rsid w:val="00891291"/>
    <w:rsid w:val="00891ACB"/>
    <w:rsid w:val="00892059"/>
    <w:rsid w:val="00892C46"/>
    <w:rsid w:val="00892E06"/>
    <w:rsid w:val="00892F2E"/>
    <w:rsid w:val="00893FBE"/>
    <w:rsid w:val="00894A82"/>
    <w:rsid w:val="008952A8"/>
    <w:rsid w:val="008962A3"/>
    <w:rsid w:val="008962BC"/>
    <w:rsid w:val="00896E77"/>
    <w:rsid w:val="008976F5"/>
    <w:rsid w:val="00897A55"/>
    <w:rsid w:val="008A01E9"/>
    <w:rsid w:val="008A0668"/>
    <w:rsid w:val="008A0BC3"/>
    <w:rsid w:val="008A119B"/>
    <w:rsid w:val="008A15EB"/>
    <w:rsid w:val="008A1B6C"/>
    <w:rsid w:val="008A1C6E"/>
    <w:rsid w:val="008A2380"/>
    <w:rsid w:val="008A4765"/>
    <w:rsid w:val="008A51A8"/>
    <w:rsid w:val="008A5A0C"/>
    <w:rsid w:val="008A5BC4"/>
    <w:rsid w:val="008A6C95"/>
    <w:rsid w:val="008A6D94"/>
    <w:rsid w:val="008A6E18"/>
    <w:rsid w:val="008A6E9E"/>
    <w:rsid w:val="008B0B6F"/>
    <w:rsid w:val="008B1294"/>
    <w:rsid w:val="008B14A4"/>
    <w:rsid w:val="008B1AAA"/>
    <w:rsid w:val="008B1AD2"/>
    <w:rsid w:val="008B2799"/>
    <w:rsid w:val="008B3446"/>
    <w:rsid w:val="008B36D7"/>
    <w:rsid w:val="008B3A11"/>
    <w:rsid w:val="008B4153"/>
    <w:rsid w:val="008B44CB"/>
    <w:rsid w:val="008B44E5"/>
    <w:rsid w:val="008B469A"/>
    <w:rsid w:val="008B5D56"/>
    <w:rsid w:val="008B5E75"/>
    <w:rsid w:val="008B652B"/>
    <w:rsid w:val="008B6A08"/>
    <w:rsid w:val="008B6CC0"/>
    <w:rsid w:val="008B7236"/>
    <w:rsid w:val="008B7533"/>
    <w:rsid w:val="008B77CB"/>
    <w:rsid w:val="008B78E7"/>
    <w:rsid w:val="008B7FD5"/>
    <w:rsid w:val="008C08FF"/>
    <w:rsid w:val="008C0BED"/>
    <w:rsid w:val="008C0C5D"/>
    <w:rsid w:val="008C104A"/>
    <w:rsid w:val="008C10C5"/>
    <w:rsid w:val="008C15CE"/>
    <w:rsid w:val="008C170F"/>
    <w:rsid w:val="008C17E7"/>
    <w:rsid w:val="008C1AC7"/>
    <w:rsid w:val="008C1C1F"/>
    <w:rsid w:val="008C20BC"/>
    <w:rsid w:val="008C24BE"/>
    <w:rsid w:val="008C2948"/>
    <w:rsid w:val="008C2953"/>
    <w:rsid w:val="008C29DE"/>
    <w:rsid w:val="008C2C29"/>
    <w:rsid w:val="008C2D21"/>
    <w:rsid w:val="008C3D16"/>
    <w:rsid w:val="008C3DDB"/>
    <w:rsid w:val="008C41AC"/>
    <w:rsid w:val="008C556A"/>
    <w:rsid w:val="008C5C1C"/>
    <w:rsid w:val="008C67E6"/>
    <w:rsid w:val="008C69F1"/>
    <w:rsid w:val="008C7D5F"/>
    <w:rsid w:val="008C7E82"/>
    <w:rsid w:val="008D0079"/>
    <w:rsid w:val="008D03E3"/>
    <w:rsid w:val="008D1EBE"/>
    <w:rsid w:val="008D2685"/>
    <w:rsid w:val="008D43E9"/>
    <w:rsid w:val="008D447A"/>
    <w:rsid w:val="008D4D38"/>
    <w:rsid w:val="008D6C1E"/>
    <w:rsid w:val="008D6E3E"/>
    <w:rsid w:val="008E06BE"/>
    <w:rsid w:val="008E0A0B"/>
    <w:rsid w:val="008E0D0D"/>
    <w:rsid w:val="008E16F6"/>
    <w:rsid w:val="008E1E10"/>
    <w:rsid w:val="008E20E6"/>
    <w:rsid w:val="008E2C2E"/>
    <w:rsid w:val="008E3D2E"/>
    <w:rsid w:val="008E4C6D"/>
    <w:rsid w:val="008E4F4E"/>
    <w:rsid w:val="008E53D4"/>
    <w:rsid w:val="008E55AE"/>
    <w:rsid w:val="008E5735"/>
    <w:rsid w:val="008E6918"/>
    <w:rsid w:val="008E7784"/>
    <w:rsid w:val="008F0AFC"/>
    <w:rsid w:val="008F0B29"/>
    <w:rsid w:val="008F0B2F"/>
    <w:rsid w:val="008F17A9"/>
    <w:rsid w:val="008F1CBD"/>
    <w:rsid w:val="008F281C"/>
    <w:rsid w:val="008F284D"/>
    <w:rsid w:val="008F2C1F"/>
    <w:rsid w:val="008F3D09"/>
    <w:rsid w:val="008F3FFC"/>
    <w:rsid w:val="008F48CA"/>
    <w:rsid w:val="008F504E"/>
    <w:rsid w:val="008F62AE"/>
    <w:rsid w:val="008F666E"/>
    <w:rsid w:val="008F7679"/>
    <w:rsid w:val="008F79A2"/>
    <w:rsid w:val="008F7C3A"/>
    <w:rsid w:val="008F7CDE"/>
    <w:rsid w:val="008F7EEC"/>
    <w:rsid w:val="00900618"/>
    <w:rsid w:val="00902AFA"/>
    <w:rsid w:val="009035DB"/>
    <w:rsid w:val="0090380A"/>
    <w:rsid w:val="009039ED"/>
    <w:rsid w:val="00903CF5"/>
    <w:rsid w:val="0090451F"/>
    <w:rsid w:val="0090455A"/>
    <w:rsid w:val="009046D9"/>
    <w:rsid w:val="00904EAC"/>
    <w:rsid w:val="00904F21"/>
    <w:rsid w:val="00905A14"/>
    <w:rsid w:val="0090631E"/>
    <w:rsid w:val="009075A5"/>
    <w:rsid w:val="00907A34"/>
    <w:rsid w:val="00910E71"/>
    <w:rsid w:val="0091101C"/>
    <w:rsid w:val="00911B2A"/>
    <w:rsid w:val="00913240"/>
    <w:rsid w:val="00913314"/>
    <w:rsid w:val="00913A68"/>
    <w:rsid w:val="00913C35"/>
    <w:rsid w:val="009151C6"/>
    <w:rsid w:val="00915932"/>
    <w:rsid w:val="009159AD"/>
    <w:rsid w:val="00915F37"/>
    <w:rsid w:val="0091737C"/>
    <w:rsid w:val="00917C1D"/>
    <w:rsid w:val="00917CE1"/>
    <w:rsid w:val="0092045E"/>
    <w:rsid w:val="00920DAF"/>
    <w:rsid w:val="00921016"/>
    <w:rsid w:val="0092117F"/>
    <w:rsid w:val="00921271"/>
    <w:rsid w:val="00921605"/>
    <w:rsid w:val="009227C0"/>
    <w:rsid w:val="00925F30"/>
    <w:rsid w:val="00926243"/>
    <w:rsid w:val="00927C03"/>
    <w:rsid w:val="00927F92"/>
    <w:rsid w:val="009303BF"/>
    <w:rsid w:val="009303D8"/>
    <w:rsid w:val="00931FA0"/>
    <w:rsid w:val="00932568"/>
    <w:rsid w:val="00932E67"/>
    <w:rsid w:val="009333EB"/>
    <w:rsid w:val="00933752"/>
    <w:rsid w:val="00933A93"/>
    <w:rsid w:val="00934031"/>
    <w:rsid w:val="0093451A"/>
    <w:rsid w:val="0093534F"/>
    <w:rsid w:val="009358CD"/>
    <w:rsid w:val="00935F99"/>
    <w:rsid w:val="0093657A"/>
    <w:rsid w:val="009373D0"/>
    <w:rsid w:val="00937D02"/>
    <w:rsid w:val="00937F9C"/>
    <w:rsid w:val="00940035"/>
    <w:rsid w:val="0094082C"/>
    <w:rsid w:val="00941B8C"/>
    <w:rsid w:val="009448B8"/>
    <w:rsid w:val="00944F1A"/>
    <w:rsid w:val="00947294"/>
    <w:rsid w:val="00947D6F"/>
    <w:rsid w:val="009502D8"/>
    <w:rsid w:val="00950957"/>
    <w:rsid w:val="00950F27"/>
    <w:rsid w:val="00952CA3"/>
    <w:rsid w:val="009543A5"/>
    <w:rsid w:val="009544B8"/>
    <w:rsid w:val="00954705"/>
    <w:rsid w:val="00955278"/>
    <w:rsid w:val="009552C5"/>
    <w:rsid w:val="009553D7"/>
    <w:rsid w:val="00955B1C"/>
    <w:rsid w:val="00955DBB"/>
    <w:rsid w:val="00957900"/>
    <w:rsid w:val="00960E70"/>
    <w:rsid w:val="009617F5"/>
    <w:rsid w:val="00961E78"/>
    <w:rsid w:val="009623EC"/>
    <w:rsid w:val="00962DEC"/>
    <w:rsid w:val="00962FD7"/>
    <w:rsid w:val="00964203"/>
    <w:rsid w:val="00964277"/>
    <w:rsid w:val="009644F5"/>
    <w:rsid w:val="009647FC"/>
    <w:rsid w:val="00964AB1"/>
    <w:rsid w:val="00964E22"/>
    <w:rsid w:val="00965490"/>
    <w:rsid w:val="00965C7B"/>
    <w:rsid w:val="00965D19"/>
    <w:rsid w:val="009660EC"/>
    <w:rsid w:val="00966636"/>
    <w:rsid w:val="00966870"/>
    <w:rsid w:val="00966C87"/>
    <w:rsid w:val="00966FAE"/>
    <w:rsid w:val="00967DE4"/>
    <w:rsid w:val="00967F10"/>
    <w:rsid w:val="00970135"/>
    <w:rsid w:val="0097082F"/>
    <w:rsid w:val="00971F8F"/>
    <w:rsid w:val="009728B3"/>
    <w:rsid w:val="00972A9E"/>
    <w:rsid w:val="00972CEF"/>
    <w:rsid w:val="0097396F"/>
    <w:rsid w:val="00973DB0"/>
    <w:rsid w:val="00973F41"/>
    <w:rsid w:val="00974183"/>
    <w:rsid w:val="009749F9"/>
    <w:rsid w:val="00974CCB"/>
    <w:rsid w:val="009752F2"/>
    <w:rsid w:val="009763C8"/>
    <w:rsid w:val="00977411"/>
    <w:rsid w:val="00977E12"/>
    <w:rsid w:val="009804A8"/>
    <w:rsid w:val="00980B89"/>
    <w:rsid w:val="00980CD4"/>
    <w:rsid w:val="00980EC0"/>
    <w:rsid w:val="0098145F"/>
    <w:rsid w:val="00981BD3"/>
    <w:rsid w:val="009822F2"/>
    <w:rsid w:val="009835C9"/>
    <w:rsid w:val="0098371E"/>
    <w:rsid w:val="00983956"/>
    <w:rsid w:val="00983A46"/>
    <w:rsid w:val="00983A83"/>
    <w:rsid w:val="00983EBA"/>
    <w:rsid w:val="0098497A"/>
    <w:rsid w:val="00984B0C"/>
    <w:rsid w:val="00984F56"/>
    <w:rsid w:val="009856F7"/>
    <w:rsid w:val="00985ADF"/>
    <w:rsid w:val="00985C56"/>
    <w:rsid w:val="00986345"/>
    <w:rsid w:val="009871B2"/>
    <w:rsid w:val="00987E77"/>
    <w:rsid w:val="0099012A"/>
    <w:rsid w:val="00990B9F"/>
    <w:rsid w:val="00990C9B"/>
    <w:rsid w:val="00990FF4"/>
    <w:rsid w:val="0099162B"/>
    <w:rsid w:val="009918EC"/>
    <w:rsid w:val="009919B8"/>
    <w:rsid w:val="00991B4E"/>
    <w:rsid w:val="00991FF8"/>
    <w:rsid w:val="00992841"/>
    <w:rsid w:val="00993494"/>
    <w:rsid w:val="00994163"/>
    <w:rsid w:val="00994813"/>
    <w:rsid w:val="00994E9C"/>
    <w:rsid w:val="009960B5"/>
    <w:rsid w:val="00996129"/>
    <w:rsid w:val="0099615A"/>
    <w:rsid w:val="009963F9"/>
    <w:rsid w:val="0099744F"/>
    <w:rsid w:val="00997EB1"/>
    <w:rsid w:val="009A01EF"/>
    <w:rsid w:val="009A04C2"/>
    <w:rsid w:val="009A07AE"/>
    <w:rsid w:val="009A18EF"/>
    <w:rsid w:val="009A2323"/>
    <w:rsid w:val="009A2C1E"/>
    <w:rsid w:val="009A3869"/>
    <w:rsid w:val="009A41EF"/>
    <w:rsid w:val="009A43CD"/>
    <w:rsid w:val="009A539C"/>
    <w:rsid w:val="009A5A51"/>
    <w:rsid w:val="009A651D"/>
    <w:rsid w:val="009A7777"/>
    <w:rsid w:val="009A7EBB"/>
    <w:rsid w:val="009B028B"/>
    <w:rsid w:val="009B06C4"/>
    <w:rsid w:val="009B1AFC"/>
    <w:rsid w:val="009B1F70"/>
    <w:rsid w:val="009B2014"/>
    <w:rsid w:val="009B223F"/>
    <w:rsid w:val="009B2952"/>
    <w:rsid w:val="009B298A"/>
    <w:rsid w:val="009B3108"/>
    <w:rsid w:val="009B327F"/>
    <w:rsid w:val="009B330E"/>
    <w:rsid w:val="009B3808"/>
    <w:rsid w:val="009B3DCB"/>
    <w:rsid w:val="009B3E44"/>
    <w:rsid w:val="009B4959"/>
    <w:rsid w:val="009B4BCE"/>
    <w:rsid w:val="009B66C6"/>
    <w:rsid w:val="009B757D"/>
    <w:rsid w:val="009B7C3F"/>
    <w:rsid w:val="009C00F3"/>
    <w:rsid w:val="009C1BD6"/>
    <w:rsid w:val="009C1D76"/>
    <w:rsid w:val="009C1E9A"/>
    <w:rsid w:val="009C273F"/>
    <w:rsid w:val="009C39A7"/>
    <w:rsid w:val="009C3CA5"/>
    <w:rsid w:val="009C435A"/>
    <w:rsid w:val="009C5633"/>
    <w:rsid w:val="009C5A60"/>
    <w:rsid w:val="009C64E3"/>
    <w:rsid w:val="009C6B7A"/>
    <w:rsid w:val="009C703A"/>
    <w:rsid w:val="009C71C2"/>
    <w:rsid w:val="009C74B9"/>
    <w:rsid w:val="009C76A7"/>
    <w:rsid w:val="009C7A5A"/>
    <w:rsid w:val="009C7DE1"/>
    <w:rsid w:val="009D0084"/>
    <w:rsid w:val="009D0215"/>
    <w:rsid w:val="009D0582"/>
    <w:rsid w:val="009D0B53"/>
    <w:rsid w:val="009D1224"/>
    <w:rsid w:val="009D213C"/>
    <w:rsid w:val="009D3E15"/>
    <w:rsid w:val="009D4454"/>
    <w:rsid w:val="009D45B8"/>
    <w:rsid w:val="009D4864"/>
    <w:rsid w:val="009D56D5"/>
    <w:rsid w:val="009D59B9"/>
    <w:rsid w:val="009D5A95"/>
    <w:rsid w:val="009D5F45"/>
    <w:rsid w:val="009D688B"/>
    <w:rsid w:val="009D7D0D"/>
    <w:rsid w:val="009E07E3"/>
    <w:rsid w:val="009E2044"/>
    <w:rsid w:val="009E2682"/>
    <w:rsid w:val="009E2F32"/>
    <w:rsid w:val="009E5347"/>
    <w:rsid w:val="009E53E1"/>
    <w:rsid w:val="009E5962"/>
    <w:rsid w:val="009E6AAD"/>
    <w:rsid w:val="009E7536"/>
    <w:rsid w:val="009F011A"/>
    <w:rsid w:val="009F03CC"/>
    <w:rsid w:val="009F03D1"/>
    <w:rsid w:val="009F16A7"/>
    <w:rsid w:val="009F18FD"/>
    <w:rsid w:val="009F19D1"/>
    <w:rsid w:val="009F1B32"/>
    <w:rsid w:val="009F1BD0"/>
    <w:rsid w:val="009F24BF"/>
    <w:rsid w:val="009F4768"/>
    <w:rsid w:val="009F5054"/>
    <w:rsid w:val="009F5734"/>
    <w:rsid w:val="009F67C4"/>
    <w:rsid w:val="009F6CB7"/>
    <w:rsid w:val="009F7516"/>
    <w:rsid w:val="009F7791"/>
    <w:rsid w:val="00A002F8"/>
    <w:rsid w:val="00A004A8"/>
    <w:rsid w:val="00A006C9"/>
    <w:rsid w:val="00A00B13"/>
    <w:rsid w:val="00A00C89"/>
    <w:rsid w:val="00A01240"/>
    <w:rsid w:val="00A01328"/>
    <w:rsid w:val="00A01455"/>
    <w:rsid w:val="00A01786"/>
    <w:rsid w:val="00A01843"/>
    <w:rsid w:val="00A01D75"/>
    <w:rsid w:val="00A02047"/>
    <w:rsid w:val="00A022E0"/>
    <w:rsid w:val="00A02A7F"/>
    <w:rsid w:val="00A03FF2"/>
    <w:rsid w:val="00A04725"/>
    <w:rsid w:val="00A056C5"/>
    <w:rsid w:val="00A05924"/>
    <w:rsid w:val="00A05D27"/>
    <w:rsid w:val="00A062A0"/>
    <w:rsid w:val="00A067E9"/>
    <w:rsid w:val="00A1013F"/>
    <w:rsid w:val="00A1038E"/>
    <w:rsid w:val="00A10B0B"/>
    <w:rsid w:val="00A10C07"/>
    <w:rsid w:val="00A12462"/>
    <w:rsid w:val="00A139C0"/>
    <w:rsid w:val="00A13B89"/>
    <w:rsid w:val="00A140F8"/>
    <w:rsid w:val="00A1548C"/>
    <w:rsid w:val="00A15DD5"/>
    <w:rsid w:val="00A17AD4"/>
    <w:rsid w:val="00A17D5B"/>
    <w:rsid w:val="00A20484"/>
    <w:rsid w:val="00A2065B"/>
    <w:rsid w:val="00A20E2D"/>
    <w:rsid w:val="00A20EDC"/>
    <w:rsid w:val="00A22E09"/>
    <w:rsid w:val="00A2395B"/>
    <w:rsid w:val="00A24574"/>
    <w:rsid w:val="00A24DE3"/>
    <w:rsid w:val="00A254C6"/>
    <w:rsid w:val="00A25FA9"/>
    <w:rsid w:val="00A26187"/>
    <w:rsid w:val="00A262B5"/>
    <w:rsid w:val="00A270EC"/>
    <w:rsid w:val="00A2718E"/>
    <w:rsid w:val="00A27440"/>
    <w:rsid w:val="00A3072F"/>
    <w:rsid w:val="00A31571"/>
    <w:rsid w:val="00A31872"/>
    <w:rsid w:val="00A31F98"/>
    <w:rsid w:val="00A3228D"/>
    <w:rsid w:val="00A3323B"/>
    <w:rsid w:val="00A3395D"/>
    <w:rsid w:val="00A34023"/>
    <w:rsid w:val="00A341E2"/>
    <w:rsid w:val="00A3423C"/>
    <w:rsid w:val="00A34B54"/>
    <w:rsid w:val="00A355BD"/>
    <w:rsid w:val="00A36394"/>
    <w:rsid w:val="00A36948"/>
    <w:rsid w:val="00A36F94"/>
    <w:rsid w:val="00A376EB"/>
    <w:rsid w:val="00A40042"/>
    <w:rsid w:val="00A4047C"/>
    <w:rsid w:val="00A40684"/>
    <w:rsid w:val="00A42075"/>
    <w:rsid w:val="00A42789"/>
    <w:rsid w:val="00A42A4E"/>
    <w:rsid w:val="00A42B4D"/>
    <w:rsid w:val="00A436E0"/>
    <w:rsid w:val="00A43B03"/>
    <w:rsid w:val="00A440C1"/>
    <w:rsid w:val="00A451F2"/>
    <w:rsid w:val="00A45DC5"/>
    <w:rsid w:val="00A4722F"/>
    <w:rsid w:val="00A4726A"/>
    <w:rsid w:val="00A51088"/>
    <w:rsid w:val="00A5136E"/>
    <w:rsid w:val="00A5205E"/>
    <w:rsid w:val="00A527AE"/>
    <w:rsid w:val="00A52898"/>
    <w:rsid w:val="00A52AF0"/>
    <w:rsid w:val="00A53667"/>
    <w:rsid w:val="00A537E1"/>
    <w:rsid w:val="00A53DA4"/>
    <w:rsid w:val="00A55465"/>
    <w:rsid w:val="00A55485"/>
    <w:rsid w:val="00A55801"/>
    <w:rsid w:val="00A561C6"/>
    <w:rsid w:val="00A577C8"/>
    <w:rsid w:val="00A5788E"/>
    <w:rsid w:val="00A6043F"/>
    <w:rsid w:val="00A60795"/>
    <w:rsid w:val="00A60976"/>
    <w:rsid w:val="00A61E66"/>
    <w:rsid w:val="00A62BA5"/>
    <w:rsid w:val="00A62F19"/>
    <w:rsid w:val="00A634E8"/>
    <w:rsid w:val="00A652B8"/>
    <w:rsid w:val="00A65A27"/>
    <w:rsid w:val="00A65B01"/>
    <w:rsid w:val="00A65B17"/>
    <w:rsid w:val="00A660CC"/>
    <w:rsid w:val="00A660F0"/>
    <w:rsid w:val="00A663B3"/>
    <w:rsid w:val="00A664C3"/>
    <w:rsid w:val="00A678BA"/>
    <w:rsid w:val="00A67BFC"/>
    <w:rsid w:val="00A7173C"/>
    <w:rsid w:val="00A722DE"/>
    <w:rsid w:val="00A72711"/>
    <w:rsid w:val="00A72DA9"/>
    <w:rsid w:val="00A73A6E"/>
    <w:rsid w:val="00A7461C"/>
    <w:rsid w:val="00A74620"/>
    <w:rsid w:val="00A76238"/>
    <w:rsid w:val="00A767C3"/>
    <w:rsid w:val="00A76F9C"/>
    <w:rsid w:val="00A77376"/>
    <w:rsid w:val="00A80732"/>
    <w:rsid w:val="00A80DDB"/>
    <w:rsid w:val="00A816BA"/>
    <w:rsid w:val="00A81E38"/>
    <w:rsid w:val="00A82028"/>
    <w:rsid w:val="00A82C64"/>
    <w:rsid w:val="00A82D6C"/>
    <w:rsid w:val="00A82F13"/>
    <w:rsid w:val="00A83280"/>
    <w:rsid w:val="00A839DD"/>
    <w:rsid w:val="00A83EE4"/>
    <w:rsid w:val="00A84357"/>
    <w:rsid w:val="00A84C21"/>
    <w:rsid w:val="00A8500B"/>
    <w:rsid w:val="00A8526D"/>
    <w:rsid w:val="00A85A1B"/>
    <w:rsid w:val="00A85E21"/>
    <w:rsid w:val="00A87011"/>
    <w:rsid w:val="00A870A9"/>
    <w:rsid w:val="00A9049C"/>
    <w:rsid w:val="00A906FF"/>
    <w:rsid w:val="00A90FDA"/>
    <w:rsid w:val="00A915B4"/>
    <w:rsid w:val="00A91635"/>
    <w:rsid w:val="00A928D5"/>
    <w:rsid w:val="00A9307D"/>
    <w:rsid w:val="00A94F12"/>
    <w:rsid w:val="00A9514F"/>
    <w:rsid w:val="00A9540B"/>
    <w:rsid w:val="00A957ED"/>
    <w:rsid w:val="00A95A24"/>
    <w:rsid w:val="00A976E5"/>
    <w:rsid w:val="00A97866"/>
    <w:rsid w:val="00A978EF"/>
    <w:rsid w:val="00A97B6C"/>
    <w:rsid w:val="00A97C0B"/>
    <w:rsid w:val="00AA0E97"/>
    <w:rsid w:val="00AA19FD"/>
    <w:rsid w:val="00AA1A68"/>
    <w:rsid w:val="00AA1E99"/>
    <w:rsid w:val="00AA20A1"/>
    <w:rsid w:val="00AA2B35"/>
    <w:rsid w:val="00AA2D2E"/>
    <w:rsid w:val="00AA31CB"/>
    <w:rsid w:val="00AA37DE"/>
    <w:rsid w:val="00AA37EC"/>
    <w:rsid w:val="00AA3FE2"/>
    <w:rsid w:val="00AA4270"/>
    <w:rsid w:val="00AA5278"/>
    <w:rsid w:val="00AA53BA"/>
    <w:rsid w:val="00AA5436"/>
    <w:rsid w:val="00AA5C5F"/>
    <w:rsid w:val="00AA5E77"/>
    <w:rsid w:val="00AA5ECC"/>
    <w:rsid w:val="00AA6432"/>
    <w:rsid w:val="00AA66FD"/>
    <w:rsid w:val="00AA74C7"/>
    <w:rsid w:val="00AA77EC"/>
    <w:rsid w:val="00AB10F3"/>
    <w:rsid w:val="00AB2B2C"/>
    <w:rsid w:val="00AB36F1"/>
    <w:rsid w:val="00AB4426"/>
    <w:rsid w:val="00AB46B5"/>
    <w:rsid w:val="00AB547C"/>
    <w:rsid w:val="00AB5496"/>
    <w:rsid w:val="00AB5E2A"/>
    <w:rsid w:val="00AB63A7"/>
    <w:rsid w:val="00AB6575"/>
    <w:rsid w:val="00AB67B8"/>
    <w:rsid w:val="00AB7761"/>
    <w:rsid w:val="00AB77DF"/>
    <w:rsid w:val="00AC0B5C"/>
    <w:rsid w:val="00AC1177"/>
    <w:rsid w:val="00AC1ACA"/>
    <w:rsid w:val="00AC1BBD"/>
    <w:rsid w:val="00AC1E05"/>
    <w:rsid w:val="00AC22E6"/>
    <w:rsid w:val="00AC29AC"/>
    <w:rsid w:val="00AC2E96"/>
    <w:rsid w:val="00AC3233"/>
    <w:rsid w:val="00AC3420"/>
    <w:rsid w:val="00AC3910"/>
    <w:rsid w:val="00AC3D73"/>
    <w:rsid w:val="00AC3DB7"/>
    <w:rsid w:val="00AC3E2D"/>
    <w:rsid w:val="00AC4513"/>
    <w:rsid w:val="00AC4B30"/>
    <w:rsid w:val="00AC55EF"/>
    <w:rsid w:val="00AC6328"/>
    <w:rsid w:val="00AC6D19"/>
    <w:rsid w:val="00AC7509"/>
    <w:rsid w:val="00AC7B28"/>
    <w:rsid w:val="00AC7CE1"/>
    <w:rsid w:val="00AC7D22"/>
    <w:rsid w:val="00AD0259"/>
    <w:rsid w:val="00AD0527"/>
    <w:rsid w:val="00AD084E"/>
    <w:rsid w:val="00AD0E88"/>
    <w:rsid w:val="00AD112A"/>
    <w:rsid w:val="00AD15A9"/>
    <w:rsid w:val="00AD15AA"/>
    <w:rsid w:val="00AD22ED"/>
    <w:rsid w:val="00AD315D"/>
    <w:rsid w:val="00AD35AD"/>
    <w:rsid w:val="00AD38A7"/>
    <w:rsid w:val="00AD48C5"/>
    <w:rsid w:val="00AD4BF3"/>
    <w:rsid w:val="00AD4E6D"/>
    <w:rsid w:val="00AD56ED"/>
    <w:rsid w:val="00AD5991"/>
    <w:rsid w:val="00AD762D"/>
    <w:rsid w:val="00AE0331"/>
    <w:rsid w:val="00AE051F"/>
    <w:rsid w:val="00AE06A1"/>
    <w:rsid w:val="00AE0EA9"/>
    <w:rsid w:val="00AE136C"/>
    <w:rsid w:val="00AE14E2"/>
    <w:rsid w:val="00AE197B"/>
    <w:rsid w:val="00AE1AD0"/>
    <w:rsid w:val="00AE1DC4"/>
    <w:rsid w:val="00AE26F5"/>
    <w:rsid w:val="00AE319E"/>
    <w:rsid w:val="00AE38B7"/>
    <w:rsid w:val="00AE46F0"/>
    <w:rsid w:val="00AE52DA"/>
    <w:rsid w:val="00AE5771"/>
    <w:rsid w:val="00AE5DE3"/>
    <w:rsid w:val="00AE5E52"/>
    <w:rsid w:val="00AE5F67"/>
    <w:rsid w:val="00AE66AC"/>
    <w:rsid w:val="00AE7060"/>
    <w:rsid w:val="00AE7C2C"/>
    <w:rsid w:val="00AF0B8F"/>
    <w:rsid w:val="00AF25E4"/>
    <w:rsid w:val="00AF27C3"/>
    <w:rsid w:val="00AF2938"/>
    <w:rsid w:val="00AF2C8D"/>
    <w:rsid w:val="00AF2CD9"/>
    <w:rsid w:val="00AF45D1"/>
    <w:rsid w:val="00AF4671"/>
    <w:rsid w:val="00AF4FA2"/>
    <w:rsid w:val="00AF6819"/>
    <w:rsid w:val="00AF6EC9"/>
    <w:rsid w:val="00AF7089"/>
    <w:rsid w:val="00AF792B"/>
    <w:rsid w:val="00AF7EDB"/>
    <w:rsid w:val="00B0011C"/>
    <w:rsid w:val="00B016C4"/>
    <w:rsid w:val="00B01787"/>
    <w:rsid w:val="00B01BCA"/>
    <w:rsid w:val="00B0219A"/>
    <w:rsid w:val="00B03B37"/>
    <w:rsid w:val="00B03E3B"/>
    <w:rsid w:val="00B03EC5"/>
    <w:rsid w:val="00B04A69"/>
    <w:rsid w:val="00B0577B"/>
    <w:rsid w:val="00B059F0"/>
    <w:rsid w:val="00B067C5"/>
    <w:rsid w:val="00B06E38"/>
    <w:rsid w:val="00B06F66"/>
    <w:rsid w:val="00B076E8"/>
    <w:rsid w:val="00B07BAC"/>
    <w:rsid w:val="00B108A8"/>
    <w:rsid w:val="00B108E9"/>
    <w:rsid w:val="00B11FC1"/>
    <w:rsid w:val="00B1289C"/>
    <w:rsid w:val="00B1311F"/>
    <w:rsid w:val="00B13308"/>
    <w:rsid w:val="00B137A4"/>
    <w:rsid w:val="00B13B47"/>
    <w:rsid w:val="00B13DFC"/>
    <w:rsid w:val="00B143EC"/>
    <w:rsid w:val="00B1494D"/>
    <w:rsid w:val="00B14A2A"/>
    <w:rsid w:val="00B1518E"/>
    <w:rsid w:val="00B151D8"/>
    <w:rsid w:val="00B16D88"/>
    <w:rsid w:val="00B16EC5"/>
    <w:rsid w:val="00B17257"/>
    <w:rsid w:val="00B17B00"/>
    <w:rsid w:val="00B17D0D"/>
    <w:rsid w:val="00B20096"/>
    <w:rsid w:val="00B20218"/>
    <w:rsid w:val="00B204AA"/>
    <w:rsid w:val="00B207FE"/>
    <w:rsid w:val="00B20AB1"/>
    <w:rsid w:val="00B210DD"/>
    <w:rsid w:val="00B2141C"/>
    <w:rsid w:val="00B21581"/>
    <w:rsid w:val="00B217A9"/>
    <w:rsid w:val="00B2187F"/>
    <w:rsid w:val="00B21E37"/>
    <w:rsid w:val="00B22090"/>
    <w:rsid w:val="00B22A64"/>
    <w:rsid w:val="00B23754"/>
    <w:rsid w:val="00B239B9"/>
    <w:rsid w:val="00B23A7B"/>
    <w:rsid w:val="00B240F5"/>
    <w:rsid w:val="00B24241"/>
    <w:rsid w:val="00B24492"/>
    <w:rsid w:val="00B24AEE"/>
    <w:rsid w:val="00B24BF3"/>
    <w:rsid w:val="00B24FB6"/>
    <w:rsid w:val="00B25BDE"/>
    <w:rsid w:val="00B26692"/>
    <w:rsid w:val="00B26B68"/>
    <w:rsid w:val="00B26E65"/>
    <w:rsid w:val="00B26FFF"/>
    <w:rsid w:val="00B27A2D"/>
    <w:rsid w:val="00B27D1D"/>
    <w:rsid w:val="00B3133A"/>
    <w:rsid w:val="00B33423"/>
    <w:rsid w:val="00B33D6D"/>
    <w:rsid w:val="00B346B3"/>
    <w:rsid w:val="00B3539F"/>
    <w:rsid w:val="00B355CF"/>
    <w:rsid w:val="00B3564B"/>
    <w:rsid w:val="00B36410"/>
    <w:rsid w:val="00B3674A"/>
    <w:rsid w:val="00B37F45"/>
    <w:rsid w:val="00B4037D"/>
    <w:rsid w:val="00B40420"/>
    <w:rsid w:val="00B405C5"/>
    <w:rsid w:val="00B408D1"/>
    <w:rsid w:val="00B40A96"/>
    <w:rsid w:val="00B40BCB"/>
    <w:rsid w:val="00B416DF"/>
    <w:rsid w:val="00B42124"/>
    <w:rsid w:val="00B42134"/>
    <w:rsid w:val="00B42377"/>
    <w:rsid w:val="00B42650"/>
    <w:rsid w:val="00B42B03"/>
    <w:rsid w:val="00B433B5"/>
    <w:rsid w:val="00B43C6E"/>
    <w:rsid w:val="00B440B1"/>
    <w:rsid w:val="00B44CDB"/>
    <w:rsid w:val="00B453F9"/>
    <w:rsid w:val="00B457A8"/>
    <w:rsid w:val="00B46813"/>
    <w:rsid w:val="00B46960"/>
    <w:rsid w:val="00B47A0A"/>
    <w:rsid w:val="00B47E6C"/>
    <w:rsid w:val="00B521DD"/>
    <w:rsid w:val="00B52898"/>
    <w:rsid w:val="00B53023"/>
    <w:rsid w:val="00B53795"/>
    <w:rsid w:val="00B53895"/>
    <w:rsid w:val="00B53E7C"/>
    <w:rsid w:val="00B54153"/>
    <w:rsid w:val="00B5471A"/>
    <w:rsid w:val="00B558AA"/>
    <w:rsid w:val="00B55F5E"/>
    <w:rsid w:val="00B55FAC"/>
    <w:rsid w:val="00B570FD"/>
    <w:rsid w:val="00B57795"/>
    <w:rsid w:val="00B616C6"/>
    <w:rsid w:val="00B6214A"/>
    <w:rsid w:val="00B62279"/>
    <w:rsid w:val="00B6273D"/>
    <w:rsid w:val="00B63389"/>
    <w:rsid w:val="00B63912"/>
    <w:rsid w:val="00B6455D"/>
    <w:rsid w:val="00B64C3A"/>
    <w:rsid w:val="00B64FA6"/>
    <w:rsid w:val="00B6505F"/>
    <w:rsid w:val="00B653AA"/>
    <w:rsid w:val="00B65987"/>
    <w:rsid w:val="00B65A0B"/>
    <w:rsid w:val="00B65B28"/>
    <w:rsid w:val="00B65E02"/>
    <w:rsid w:val="00B66525"/>
    <w:rsid w:val="00B66A4D"/>
    <w:rsid w:val="00B6783C"/>
    <w:rsid w:val="00B70207"/>
    <w:rsid w:val="00B7032A"/>
    <w:rsid w:val="00B70625"/>
    <w:rsid w:val="00B70652"/>
    <w:rsid w:val="00B70727"/>
    <w:rsid w:val="00B71406"/>
    <w:rsid w:val="00B71E50"/>
    <w:rsid w:val="00B72158"/>
    <w:rsid w:val="00B732E0"/>
    <w:rsid w:val="00B74405"/>
    <w:rsid w:val="00B74A77"/>
    <w:rsid w:val="00B75FD2"/>
    <w:rsid w:val="00B7619A"/>
    <w:rsid w:val="00B7644D"/>
    <w:rsid w:val="00B77007"/>
    <w:rsid w:val="00B80250"/>
    <w:rsid w:val="00B8088E"/>
    <w:rsid w:val="00B817FF"/>
    <w:rsid w:val="00B81811"/>
    <w:rsid w:val="00B81887"/>
    <w:rsid w:val="00B8224D"/>
    <w:rsid w:val="00B82CCF"/>
    <w:rsid w:val="00B82E6E"/>
    <w:rsid w:val="00B83939"/>
    <w:rsid w:val="00B83D2C"/>
    <w:rsid w:val="00B857DE"/>
    <w:rsid w:val="00B8580D"/>
    <w:rsid w:val="00B87361"/>
    <w:rsid w:val="00B873E9"/>
    <w:rsid w:val="00B875E8"/>
    <w:rsid w:val="00B87F0A"/>
    <w:rsid w:val="00B9069F"/>
    <w:rsid w:val="00B91335"/>
    <w:rsid w:val="00B921E2"/>
    <w:rsid w:val="00B926C3"/>
    <w:rsid w:val="00B92970"/>
    <w:rsid w:val="00B93846"/>
    <w:rsid w:val="00B9389F"/>
    <w:rsid w:val="00B93934"/>
    <w:rsid w:val="00B94108"/>
    <w:rsid w:val="00B95DDE"/>
    <w:rsid w:val="00B96258"/>
    <w:rsid w:val="00B96C3F"/>
    <w:rsid w:val="00B975FB"/>
    <w:rsid w:val="00B976B4"/>
    <w:rsid w:val="00B97EB9"/>
    <w:rsid w:val="00BA1A1C"/>
    <w:rsid w:val="00BA1EFC"/>
    <w:rsid w:val="00BA2923"/>
    <w:rsid w:val="00BA3C38"/>
    <w:rsid w:val="00BA3D16"/>
    <w:rsid w:val="00BA471E"/>
    <w:rsid w:val="00BA5A5E"/>
    <w:rsid w:val="00BA5AC5"/>
    <w:rsid w:val="00BA72F3"/>
    <w:rsid w:val="00BA7BDD"/>
    <w:rsid w:val="00BA7C66"/>
    <w:rsid w:val="00BA7DB6"/>
    <w:rsid w:val="00BB0750"/>
    <w:rsid w:val="00BB1176"/>
    <w:rsid w:val="00BB1AC1"/>
    <w:rsid w:val="00BB276F"/>
    <w:rsid w:val="00BB2FAF"/>
    <w:rsid w:val="00BB50F2"/>
    <w:rsid w:val="00BB5254"/>
    <w:rsid w:val="00BB6ECF"/>
    <w:rsid w:val="00BB7026"/>
    <w:rsid w:val="00BB7030"/>
    <w:rsid w:val="00BB712C"/>
    <w:rsid w:val="00BB74F3"/>
    <w:rsid w:val="00BB7BD6"/>
    <w:rsid w:val="00BC057F"/>
    <w:rsid w:val="00BC0A78"/>
    <w:rsid w:val="00BC1454"/>
    <w:rsid w:val="00BC1B61"/>
    <w:rsid w:val="00BC1F4C"/>
    <w:rsid w:val="00BC3917"/>
    <w:rsid w:val="00BC392D"/>
    <w:rsid w:val="00BC399B"/>
    <w:rsid w:val="00BC3C5B"/>
    <w:rsid w:val="00BC3DD7"/>
    <w:rsid w:val="00BC4D91"/>
    <w:rsid w:val="00BC5164"/>
    <w:rsid w:val="00BC5879"/>
    <w:rsid w:val="00BC5A8E"/>
    <w:rsid w:val="00BC6262"/>
    <w:rsid w:val="00BC6CD9"/>
    <w:rsid w:val="00BC6E37"/>
    <w:rsid w:val="00BC7567"/>
    <w:rsid w:val="00BD0AED"/>
    <w:rsid w:val="00BD1452"/>
    <w:rsid w:val="00BD22BB"/>
    <w:rsid w:val="00BD4E90"/>
    <w:rsid w:val="00BD5B7C"/>
    <w:rsid w:val="00BD5DBC"/>
    <w:rsid w:val="00BD6386"/>
    <w:rsid w:val="00BE0125"/>
    <w:rsid w:val="00BE0B85"/>
    <w:rsid w:val="00BE0DCB"/>
    <w:rsid w:val="00BE0FCB"/>
    <w:rsid w:val="00BE0FE2"/>
    <w:rsid w:val="00BE17E1"/>
    <w:rsid w:val="00BE1D9B"/>
    <w:rsid w:val="00BE1DDF"/>
    <w:rsid w:val="00BE1EEC"/>
    <w:rsid w:val="00BE2F7E"/>
    <w:rsid w:val="00BE3053"/>
    <w:rsid w:val="00BE389E"/>
    <w:rsid w:val="00BE3923"/>
    <w:rsid w:val="00BE393B"/>
    <w:rsid w:val="00BE3A14"/>
    <w:rsid w:val="00BE3E2F"/>
    <w:rsid w:val="00BE3FCA"/>
    <w:rsid w:val="00BE4B01"/>
    <w:rsid w:val="00BE5471"/>
    <w:rsid w:val="00BE6C59"/>
    <w:rsid w:val="00BE6C6D"/>
    <w:rsid w:val="00BE6D20"/>
    <w:rsid w:val="00BF01B3"/>
    <w:rsid w:val="00BF0B49"/>
    <w:rsid w:val="00BF0D74"/>
    <w:rsid w:val="00BF1296"/>
    <w:rsid w:val="00BF154F"/>
    <w:rsid w:val="00BF15A0"/>
    <w:rsid w:val="00BF2254"/>
    <w:rsid w:val="00BF279E"/>
    <w:rsid w:val="00BF2ACE"/>
    <w:rsid w:val="00BF2B33"/>
    <w:rsid w:val="00BF2CE7"/>
    <w:rsid w:val="00BF5267"/>
    <w:rsid w:val="00BF53DA"/>
    <w:rsid w:val="00BF55BA"/>
    <w:rsid w:val="00BF5C20"/>
    <w:rsid w:val="00BF6813"/>
    <w:rsid w:val="00BF682F"/>
    <w:rsid w:val="00BF6DF3"/>
    <w:rsid w:val="00BF716B"/>
    <w:rsid w:val="00BF7387"/>
    <w:rsid w:val="00BF7D1C"/>
    <w:rsid w:val="00C00657"/>
    <w:rsid w:val="00C00936"/>
    <w:rsid w:val="00C01998"/>
    <w:rsid w:val="00C01E63"/>
    <w:rsid w:val="00C031B7"/>
    <w:rsid w:val="00C033B0"/>
    <w:rsid w:val="00C040DF"/>
    <w:rsid w:val="00C04297"/>
    <w:rsid w:val="00C0502E"/>
    <w:rsid w:val="00C0562B"/>
    <w:rsid w:val="00C06729"/>
    <w:rsid w:val="00C06B39"/>
    <w:rsid w:val="00C06DB2"/>
    <w:rsid w:val="00C06F45"/>
    <w:rsid w:val="00C0736E"/>
    <w:rsid w:val="00C0772C"/>
    <w:rsid w:val="00C10295"/>
    <w:rsid w:val="00C10368"/>
    <w:rsid w:val="00C1081A"/>
    <w:rsid w:val="00C115E6"/>
    <w:rsid w:val="00C11E17"/>
    <w:rsid w:val="00C125A2"/>
    <w:rsid w:val="00C126FD"/>
    <w:rsid w:val="00C129A3"/>
    <w:rsid w:val="00C13CD9"/>
    <w:rsid w:val="00C14C49"/>
    <w:rsid w:val="00C14D4C"/>
    <w:rsid w:val="00C15EB7"/>
    <w:rsid w:val="00C1611F"/>
    <w:rsid w:val="00C168B8"/>
    <w:rsid w:val="00C16E58"/>
    <w:rsid w:val="00C17C77"/>
    <w:rsid w:val="00C20635"/>
    <w:rsid w:val="00C20718"/>
    <w:rsid w:val="00C217BA"/>
    <w:rsid w:val="00C21A54"/>
    <w:rsid w:val="00C21BBC"/>
    <w:rsid w:val="00C21EDE"/>
    <w:rsid w:val="00C22247"/>
    <w:rsid w:val="00C234EC"/>
    <w:rsid w:val="00C23D59"/>
    <w:rsid w:val="00C24193"/>
    <w:rsid w:val="00C2444D"/>
    <w:rsid w:val="00C24815"/>
    <w:rsid w:val="00C2498B"/>
    <w:rsid w:val="00C259F3"/>
    <w:rsid w:val="00C262D6"/>
    <w:rsid w:val="00C26B6D"/>
    <w:rsid w:val="00C26F33"/>
    <w:rsid w:val="00C27438"/>
    <w:rsid w:val="00C2748C"/>
    <w:rsid w:val="00C278E7"/>
    <w:rsid w:val="00C30206"/>
    <w:rsid w:val="00C30443"/>
    <w:rsid w:val="00C307BC"/>
    <w:rsid w:val="00C31D15"/>
    <w:rsid w:val="00C3202E"/>
    <w:rsid w:val="00C3260A"/>
    <w:rsid w:val="00C33356"/>
    <w:rsid w:val="00C33692"/>
    <w:rsid w:val="00C337E4"/>
    <w:rsid w:val="00C341FC"/>
    <w:rsid w:val="00C3584E"/>
    <w:rsid w:val="00C35D07"/>
    <w:rsid w:val="00C35E33"/>
    <w:rsid w:val="00C364DE"/>
    <w:rsid w:val="00C36C8D"/>
    <w:rsid w:val="00C37D50"/>
    <w:rsid w:val="00C402F1"/>
    <w:rsid w:val="00C40897"/>
    <w:rsid w:val="00C409CF"/>
    <w:rsid w:val="00C41277"/>
    <w:rsid w:val="00C4267B"/>
    <w:rsid w:val="00C426FA"/>
    <w:rsid w:val="00C430C0"/>
    <w:rsid w:val="00C4345D"/>
    <w:rsid w:val="00C4383D"/>
    <w:rsid w:val="00C43E68"/>
    <w:rsid w:val="00C44834"/>
    <w:rsid w:val="00C450D3"/>
    <w:rsid w:val="00C45B5B"/>
    <w:rsid w:val="00C45CE6"/>
    <w:rsid w:val="00C45EE8"/>
    <w:rsid w:val="00C46177"/>
    <w:rsid w:val="00C4683C"/>
    <w:rsid w:val="00C47AC4"/>
    <w:rsid w:val="00C47E8C"/>
    <w:rsid w:val="00C50683"/>
    <w:rsid w:val="00C514C8"/>
    <w:rsid w:val="00C51747"/>
    <w:rsid w:val="00C52ACB"/>
    <w:rsid w:val="00C52EAD"/>
    <w:rsid w:val="00C53491"/>
    <w:rsid w:val="00C535FC"/>
    <w:rsid w:val="00C53A55"/>
    <w:rsid w:val="00C5423A"/>
    <w:rsid w:val="00C55E7F"/>
    <w:rsid w:val="00C55ECF"/>
    <w:rsid w:val="00C565B9"/>
    <w:rsid w:val="00C57284"/>
    <w:rsid w:val="00C57E04"/>
    <w:rsid w:val="00C6136D"/>
    <w:rsid w:val="00C6150C"/>
    <w:rsid w:val="00C63000"/>
    <w:rsid w:val="00C63256"/>
    <w:rsid w:val="00C637BB"/>
    <w:rsid w:val="00C63995"/>
    <w:rsid w:val="00C64FB3"/>
    <w:rsid w:val="00C65EFE"/>
    <w:rsid w:val="00C67E92"/>
    <w:rsid w:val="00C7184B"/>
    <w:rsid w:val="00C71915"/>
    <w:rsid w:val="00C7239B"/>
    <w:rsid w:val="00C73276"/>
    <w:rsid w:val="00C73B49"/>
    <w:rsid w:val="00C73BBB"/>
    <w:rsid w:val="00C740EE"/>
    <w:rsid w:val="00C74A96"/>
    <w:rsid w:val="00C759C0"/>
    <w:rsid w:val="00C75DC9"/>
    <w:rsid w:val="00C767A6"/>
    <w:rsid w:val="00C772B5"/>
    <w:rsid w:val="00C77970"/>
    <w:rsid w:val="00C800E8"/>
    <w:rsid w:val="00C8014C"/>
    <w:rsid w:val="00C8039F"/>
    <w:rsid w:val="00C80D7B"/>
    <w:rsid w:val="00C80DE7"/>
    <w:rsid w:val="00C81057"/>
    <w:rsid w:val="00C81275"/>
    <w:rsid w:val="00C814DB"/>
    <w:rsid w:val="00C819EA"/>
    <w:rsid w:val="00C81CDA"/>
    <w:rsid w:val="00C82137"/>
    <w:rsid w:val="00C8282F"/>
    <w:rsid w:val="00C83527"/>
    <w:rsid w:val="00C83B9A"/>
    <w:rsid w:val="00C841FE"/>
    <w:rsid w:val="00C842FA"/>
    <w:rsid w:val="00C8569F"/>
    <w:rsid w:val="00C867EC"/>
    <w:rsid w:val="00C870E5"/>
    <w:rsid w:val="00C878F0"/>
    <w:rsid w:val="00C87DDD"/>
    <w:rsid w:val="00C87F77"/>
    <w:rsid w:val="00C90159"/>
    <w:rsid w:val="00C901D4"/>
    <w:rsid w:val="00C91754"/>
    <w:rsid w:val="00C9185F"/>
    <w:rsid w:val="00C91B52"/>
    <w:rsid w:val="00C91C84"/>
    <w:rsid w:val="00C938C7"/>
    <w:rsid w:val="00C93F94"/>
    <w:rsid w:val="00C94842"/>
    <w:rsid w:val="00C9553D"/>
    <w:rsid w:val="00C96084"/>
    <w:rsid w:val="00C96779"/>
    <w:rsid w:val="00C96B15"/>
    <w:rsid w:val="00C971BB"/>
    <w:rsid w:val="00C97E19"/>
    <w:rsid w:val="00CA0053"/>
    <w:rsid w:val="00CA0D6F"/>
    <w:rsid w:val="00CA0FCA"/>
    <w:rsid w:val="00CA2416"/>
    <w:rsid w:val="00CA2DBE"/>
    <w:rsid w:val="00CA3BB7"/>
    <w:rsid w:val="00CA44EC"/>
    <w:rsid w:val="00CA52DE"/>
    <w:rsid w:val="00CA773E"/>
    <w:rsid w:val="00CA7E75"/>
    <w:rsid w:val="00CA7F30"/>
    <w:rsid w:val="00CB03AF"/>
    <w:rsid w:val="00CB0591"/>
    <w:rsid w:val="00CB0F1C"/>
    <w:rsid w:val="00CB2888"/>
    <w:rsid w:val="00CB29D3"/>
    <w:rsid w:val="00CB31C2"/>
    <w:rsid w:val="00CB39AA"/>
    <w:rsid w:val="00CB3F28"/>
    <w:rsid w:val="00CB3F94"/>
    <w:rsid w:val="00CB3FDF"/>
    <w:rsid w:val="00CB4399"/>
    <w:rsid w:val="00CB4700"/>
    <w:rsid w:val="00CB510F"/>
    <w:rsid w:val="00CB5285"/>
    <w:rsid w:val="00CB5293"/>
    <w:rsid w:val="00CB5B29"/>
    <w:rsid w:val="00CB62D2"/>
    <w:rsid w:val="00CB631F"/>
    <w:rsid w:val="00CB6A82"/>
    <w:rsid w:val="00CB7D9E"/>
    <w:rsid w:val="00CC05B1"/>
    <w:rsid w:val="00CC1AC0"/>
    <w:rsid w:val="00CC1D3A"/>
    <w:rsid w:val="00CC2824"/>
    <w:rsid w:val="00CC2E50"/>
    <w:rsid w:val="00CC3300"/>
    <w:rsid w:val="00CC37EE"/>
    <w:rsid w:val="00CC624B"/>
    <w:rsid w:val="00CC73FA"/>
    <w:rsid w:val="00CC76AD"/>
    <w:rsid w:val="00CC7E0D"/>
    <w:rsid w:val="00CC7EEA"/>
    <w:rsid w:val="00CD021C"/>
    <w:rsid w:val="00CD03E6"/>
    <w:rsid w:val="00CD1046"/>
    <w:rsid w:val="00CD1583"/>
    <w:rsid w:val="00CD1EB1"/>
    <w:rsid w:val="00CD3D4A"/>
    <w:rsid w:val="00CD3F27"/>
    <w:rsid w:val="00CD55F8"/>
    <w:rsid w:val="00CD6AB3"/>
    <w:rsid w:val="00CD6CB1"/>
    <w:rsid w:val="00CD7E1A"/>
    <w:rsid w:val="00CE04B0"/>
    <w:rsid w:val="00CE0522"/>
    <w:rsid w:val="00CE185A"/>
    <w:rsid w:val="00CE1E16"/>
    <w:rsid w:val="00CE2487"/>
    <w:rsid w:val="00CE3C37"/>
    <w:rsid w:val="00CE4601"/>
    <w:rsid w:val="00CE49C8"/>
    <w:rsid w:val="00CE4DF0"/>
    <w:rsid w:val="00CE5260"/>
    <w:rsid w:val="00CE561D"/>
    <w:rsid w:val="00CE5734"/>
    <w:rsid w:val="00CE5C15"/>
    <w:rsid w:val="00CE6793"/>
    <w:rsid w:val="00CE7CEF"/>
    <w:rsid w:val="00CF04AA"/>
    <w:rsid w:val="00CF0518"/>
    <w:rsid w:val="00CF09FE"/>
    <w:rsid w:val="00CF18C6"/>
    <w:rsid w:val="00CF2525"/>
    <w:rsid w:val="00CF29CD"/>
    <w:rsid w:val="00CF2A39"/>
    <w:rsid w:val="00CF2C2B"/>
    <w:rsid w:val="00CF2C7D"/>
    <w:rsid w:val="00CF3417"/>
    <w:rsid w:val="00CF4C42"/>
    <w:rsid w:val="00CF5179"/>
    <w:rsid w:val="00CF5A1B"/>
    <w:rsid w:val="00CF5D09"/>
    <w:rsid w:val="00CF6401"/>
    <w:rsid w:val="00CF67B4"/>
    <w:rsid w:val="00CF6BF2"/>
    <w:rsid w:val="00D0016B"/>
    <w:rsid w:val="00D002BC"/>
    <w:rsid w:val="00D0040D"/>
    <w:rsid w:val="00D0057C"/>
    <w:rsid w:val="00D005E4"/>
    <w:rsid w:val="00D00C6F"/>
    <w:rsid w:val="00D00CB2"/>
    <w:rsid w:val="00D011A5"/>
    <w:rsid w:val="00D01547"/>
    <w:rsid w:val="00D01EC9"/>
    <w:rsid w:val="00D02A1C"/>
    <w:rsid w:val="00D02CB5"/>
    <w:rsid w:val="00D03077"/>
    <w:rsid w:val="00D032B3"/>
    <w:rsid w:val="00D04977"/>
    <w:rsid w:val="00D049AE"/>
    <w:rsid w:val="00D05D73"/>
    <w:rsid w:val="00D06329"/>
    <w:rsid w:val="00D07B64"/>
    <w:rsid w:val="00D07C20"/>
    <w:rsid w:val="00D07CF2"/>
    <w:rsid w:val="00D10037"/>
    <w:rsid w:val="00D10662"/>
    <w:rsid w:val="00D106B6"/>
    <w:rsid w:val="00D10DFC"/>
    <w:rsid w:val="00D11374"/>
    <w:rsid w:val="00D118B1"/>
    <w:rsid w:val="00D11A46"/>
    <w:rsid w:val="00D1224D"/>
    <w:rsid w:val="00D12698"/>
    <w:rsid w:val="00D1305C"/>
    <w:rsid w:val="00D1392C"/>
    <w:rsid w:val="00D13AEA"/>
    <w:rsid w:val="00D13B9F"/>
    <w:rsid w:val="00D13D0B"/>
    <w:rsid w:val="00D149B0"/>
    <w:rsid w:val="00D15127"/>
    <w:rsid w:val="00D15B4A"/>
    <w:rsid w:val="00D16698"/>
    <w:rsid w:val="00D16CE8"/>
    <w:rsid w:val="00D2048C"/>
    <w:rsid w:val="00D20CAF"/>
    <w:rsid w:val="00D20E48"/>
    <w:rsid w:val="00D211A0"/>
    <w:rsid w:val="00D21CB3"/>
    <w:rsid w:val="00D21FD9"/>
    <w:rsid w:val="00D220F8"/>
    <w:rsid w:val="00D223D5"/>
    <w:rsid w:val="00D22A8E"/>
    <w:rsid w:val="00D22BC6"/>
    <w:rsid w:val="00D22F8F"/>
    <w:rsid w:val="00D2319A"/>
    <w:rsid w:val="00D23A5A"/>
    <w:rsid w:val="00D24018"/>
    <w:rsid w:val="00D2404A"/>
    <w:rsid w:val="00D241CE"/>
    <w:rsid w:val="00D2492A"/>
    <w:rsid w:val="00D24940"/>
    <w:rsid w:val="00D25111"/>
    <w:rsid w:val="00D2609B"/>
    <w:rsid w:val="00D264CB"/>
    <w:rsid w:val="00D270B3"/>
    <w:rsid w:val="00D27131"/>
    <w:rsid w:val="00D27520"/>
    <w:rsid w:val="00D275D4"/>
    <w:rsid w:val="00D27DF6"/>
    <w:rsid w:val="00D307C1"/>
    <w:rsid w:val="00D30C8D"/>
    <w:rsid w:val="00D30DD8"/>
    <w:rsid w:val="00D30F8E"/>
    <w:rsid w:val="00D31023"/>
    <w:rsid w:val="00D313C6"/>
    <w:rsid w:val="00D3159F"/>
    <w:rsid w:val="00D31BF4"/>
    <w:rsid w:val="00D32018"/>
    <w:rsid w:val="00D339B5"/>
    <w:rsid w:val="00D3507A"/>
    <w:rsid w:val="00D36A87"/>
    <w:rsid w:val="00D37BBA"/>
    <w:rsid w:val="00D37DE7"/>
    <w:rsid w:val="00D4022C"/>
    <w:rsid w:val="00D4037D"/>
    <w:rsid w:val="00D405A4"/>
    <w:rsid w:val="00D410AA"/>
    <w:rsid w:val="00D4269E"/>
    <w:rsid w:val="00D42BB6"/>
    <w:rsid w:val="00D42FD9"/>
    <w:rsid w:val="00D4439F"/>
    <w:rsid w:val="00D44C4F"/>
    <w:rsid w:val="00D45C29"/>
    <w:rsid w:val="00D45E0B"/>
    <w:rsid w:val="00D462AF"/>
    <w:rsid w:val="00D463D3"/>
    <w:rsid w:val="00D4768C"/>
    <w:rsid w:val="00D47CDA"/>
    <w:rsid w:val="00D47F84"/>
    <w:rsid w:val="00D50070"/>
    <w:rsid w:val="00D523F3"/>
    <w:rsid w:val="00D528C0"/>
    <w:rsid w:val="00D52BD4"/>
    <w:rsid w:val="00D52D8A"/>
    <w:rsid w:val="00D5361F"/>
    <w:rsid w:val="00D53CCB"/>
    <w:rsid w:val="00D54292"/>
    <w:rsid w:val="00D54CB9"/>
    <w:rsid w:val="00D563B7"/>
    <w:rsid w:val="00D56887"/>
    <w:rsid w:val="00D56EF1"/>
    <w:rsid w:val="00D61486"/>
    <w:rsid w:val="00D621A9"/>
    <w:rsid w:val="00D624F9"/>
    <w:rsid w:val="00D64777"/>
    <w:rsid w:val="00D64D04"/>
    <w:rsid w:val="00D64E90"/>
    <w:rsid w:val="00D663C1"/>
    <w:rsid w:val="00D663CD"/>
    <w:rsid w:val="00D675E7"/>
    <w:rsid w:val="00D70B7A"/>
    <w:rsid w:val="00D70E6C"/>
    <w:rsid w:val="00D7165D"/>
    <w:rsid w:val="00D719A4"/>
    <w:rsid w:val="00D719D2"/>
    <w:rsid w:val="00D71B86"/>
    <w:rsid w:val="00D71C1F"/>
    <w:rsid w:val="00D71E1D"/>
    <w:rsid w:val="00D722A5"/>
    <w:rsid w:val="00D73172"/>
    <w:rsid w:val="00D73330"/>
    <w:rsid w:val="00D73508"/>
    <w:rsid w:val="00D73B90"/>
    <w:rsid w:val="00D73FDF"/>
    <w:rsid w:val="00D74454"/>
    <w:rsid w:val="00D7484D"/>
    <w:rsid w:val="00D74D47"/>
    <w:rsid w:val="00D74D76"/>
    <w:rsid w:val="00D75228"/>
    <w:rsid w:val="00D75B78"/>
    <w:rsid w:val="00D76477"/>
    <w:rsid w:val="00D77294"/>
    <w:rsid w:val="00D77F9C"/>
    <w:rsid w:val="00D81739"/>
    <w:rsid w:val="00D81C43"/>
    <w:rsid w:val="00D82231"/>
    <w:rsid w:val="00D82D8A"/>
    <w:rsid w:val="00D8380C"/>
    <w:rsid w:val="00D83A50"/>
    <w:rsid w:val="00D83ECD"/>
    <w:rsid w:val="00D847AA"/>
    <w:rsid w:val="00D84B20"/>
    <w:rsid w:val="00D84EA3"/>
    <w:rsid w:val="00D85029"/>
    <w:rsid w:val="00D8689A"/>
    <w:rsid w:val="00D87D3B"/>
    <w:rsid w:val="00D9089A"/>
    <w:rsid w:val="00D90F3E"/>
    <w:rsid w:val="00D90FF1"/>
    <w:rsid w:val="00D912E1"/>
    <w:rsid w:val="00D91F9E"/>
    <w:rsid w:val="00D930AE"/>
    <w:rsid w:val="00D93485"/>
    <w:rsid w:val="00D93921"/>
    <w:rsid w:val="00D93E1D"/>
    <w:rsid w:val="00D94387"/>
    <w:rsid w:val="00D95CF0"/>
    <w:rsid w:val="00D97067"/>
    <w:rsid w:val="00DA17C0"/>
    <w:rsid w:val="00DA211F"/>
    <w:rsid w:val="00DA2D2C"/>
    <w:rsid w:val="00DA3DC1"/>
    <w:rsid w:val="00DA48D3"/>
    <w:rsid w:val="00DA5E9F"/>
    <w:rsid w:val="00DA60D4"/>
    <w:rsid w:val="00DA6A51"/>
    <w:rsid w:val="00DA6BC2"/>
    <w:rsid w:val="00DA7AA5"/>
    <w:rsid w:val="00DA7F11"/>
    <w:rsid w:val="00DB0FEA"/>
    <w:rsid w:val="00DB1764"/>
    <w:rsid w:val="00DB1BBE"/>
    <w:rsid w:val="00DB2170"/>
    <w:rsid w:val="00DB36EA"/>
    <w:rsid w:val="00DB4E56"/>
    <w:rsid w:val="00DB5833"/>
    <w:rsid w:val="00DB5C94"/>
    <w:rsid w:val="00DB5E6A"/>
    <w:rsid w:val="00DB656F"/>
    <w:rsid w:val="00DB686E"/>
    <w:rsid w:val="00DB698D"/>
    <w:rsid w:val="00DB71BF"/>
    <w:rsid w:val="00DB7565"/>
    <w:rsid w:val="00DB7C2D"/>
    <w:rsid w:val="00DB7DCA"/>
    <w:rsid w:val="00DC02A1"/>
    <w:rsid w:val="00DC0321"/>
    <w:rsid w:val="00DC032C"/>
    <w:rsid w:val="00DC0424"/>
    <w:rsid w:val="00DC08A1"/>
    <w:rsid w:val="00DC0F28"/>
    <w:rsid w:val="00DC15B9"/>
    <w:rsid w:val="00DC16E3"/>
    <w:rsid w:val="00DC2426"/>
    <w:rsid w:val="00DC3650"/>
    <w:rsid w:val="00DC3B08"/>
    <w:rsid w:val="00DC4A51"/>
    <w:rsid w:val="00DC4E09"/>
    <w:rsid w:val="00DC4F0C"/>
    <w:rsid w:val="00DC506D"/>
    <w:rsid w:val="00DC5198"/>
    <w:rsid w:val="00DC54F6"/>
    <w:rsid w:val="00DC567F"/>
    <w:rsid w:val="00DC5AE8"/>
    <w:rsid w:val="00DC6055"/>
    <w:rsid w:val="00DC6077"/>
    <w:rsid w:val="00DC741F"/>
    <w:rsid w:val="00DC7525"/>
    <w:rsid w:val="00DC7C64"/>
    <w:rsid w:val="00DC7CB1"/>
    <w:rsid w:val="00DD094A"/>
    <w:rsid w:val="00DD09FB"/>
    <w:rsid w:val="00DD0B53"/>
    <w:rsid w:val="00DD0C36"/>
    <w:rsid w:val="00DD144E"/>
    <w:rsid w:val="00DD2609"/>
    <w:rsid w:val="00DD28D5"/>
    <w:rsid w:val="00DD362D"/>
    <w:rsid w:val="00DD441C"/>
    <w:rsid w:val="00DD4832"/>
    <w:rsid w:val="00DD4B57"/>
    <w:rsid w:val="00DD4F87"/>
    <w:rsid w:val="00DD5369"/>
    <w:rsid w:val="00DD5D4C"/>
    <w:rsid w:val="00DD5FC6"/>
    <w:rsid w:val="00DD6465"/>
    <w:rsid w:val="00DD6DE3"/>
    <w:rsid w:val="00DD7534"/>
    <w:rsid w:val="00DD7D19"/>
    <w:rsid w:val="00DE0175"/>
    <w:rsid w:val="00DE06F0"/>
    <w:rsid w:val="00DE071D"/>
    <w:rsid w:val="00DE09E3"/>
    <w:rsid w:val="00DE191C"/>
    <w:rsid w:val="00DE21A9"/>
    <w:rsid w:val="00DE2459"/>
    <w:rsid w:val="00DE2796"/>
    <w:rsid w:val="00DE2D17"/>
    <w:rsid w:val="00DE2D82"/>
    <w:rsid w:val="00DE3053"/>
    <w:rsid w:val="00DE3171"/>
    <w:rsid w:val="00DE3FE7"/>
    <w:rsid w:val="00DE408F"/>
    <w:rsid w:val="00DE50A1"/>
    <w:rsid w:val="00DE51AC"/>
    <w:rsid w:val="00DE74CD"/>
    <w:rsid w:val="00DE78C0"/>
    <w:rsid w:val="00DE7E02"/>
    <w:rsid w:val="00DF011F"/>
    <w:rsid w:val="00DF125C"/>
    <w:rsid w:val="00DF21F6"/>
    <w:rsid w:val="00DF26A6"/>
    <w:rsid w:val="00DF3557"/>
    <w:rsid w:val="00DF4A3F"/>
    <w:rsid w:val="00DF4AB8"/>
    <w:rsid w:val="00DF4C7A"/>
    <w:rsid w:val="00DF5A37"/>
    <w:rsid w:val="00DF5AC7"/>
    <w:rsid w:val="00DF6933"/>
    <w:rsid w:val="00E0033E"/>
    <w:rsid w:val="00E006E7"/>
    <w:rsid w:val="00E012D0"/>
    <w:rsid w:val="00E01931"/>
    <w:rsid w:val="00E0215A"/>
    <w:rsid w:val="00E02374"/>
    <w:rsid w:val="00E0299C"/>
    <w:rsid w:val="00E02C1E"/>
    <w:rsid w:val="00E02C97"/>
    <w:rsid w:val="00E036D6"/>
    <w:rsid w:val="00E04F31"/>
    <w:rsid w:val="00E061E7"/>
    <w:rsid w:val="00E07750"/>
    <w:rsid w:val="00E07A92"/>
    <w:rsid w:val="00E10564"/>
    <w:rsid w:val="00E10872"/>
    <w:rsid w:val="00E12557"/>
    <w:rsid w:val="00E129A3"/>
    <w:rsid w:val="00E12A98"/>
    <w:rsid w:val="00E13A0A"/>
    <w:rsid w:val="00E13AE9"/>
    <w:rsid w:val="00E15002"/>
    <w:rsid w:val="00E155D9"/>
    <w:rsid w:val="00E1575B"/>
    <w:rsid w:val="00E1696C"/>
    <w:rsid w:val="00E1716A"/>
    <w:rsid w:val="00E20042"/>
    <w:rsid w:val="00E2043D"/>
    <w:rsid w:val="00E21CCF"/>
    <w:rsid w:val="00E21FFA"/>
    <w:rsid w:val="00E221B4"/>
    <w:rsid w:val="00E240BC"/>
    <w:rsid w:val="00E24C9E"/>
    <w:rsid w:val="00E25041"/>
    <w:rsid w:val="00E251D7"/>
    <w:rsid w:val="00E266F0"/>
    <w:rsid w:val="00E26943"/>
    <w:rsid w:val="00E27245"/>
    <w:rsid w:val="00E27A96"/>
    <w:rsid w:val="00E27DEF"/>
    <w:rsid w:val="00E300BA"/>
    <w:rsid w:val="00E310BD"/>
    <w:rsid w:val="00E31D05"/>
    <w:rsid w:val="00E321B4"/>
    <w:rsid w:val="00E342BB"/>
    <w:rsid w:val="00E34D73"/>
    <w:rsid w:val="00E350B9"/>
    <w:rsid w:val="00E351A2"/>
    <w:rsid w:val="00E357B4"/>
    <w:rsid w:val="00E358FC"/>
    <w:rsid w:val="00E35D7E"/>
    <w:rsid w:val="00E3618F"/>
    <w:rsid w:val="00E36A70"/>
    <w:rsid w:val="00E37E40"/>
    <w:rsid w:val="00E37E91"/>
    <w:rsid w:val="00E40793"/>
    <w:rsid w:val="00E42402"/>
    <w:rsid w:val="00E42EA2"/>
    <w:rsid w:val="00E435DB"/>
    <w:rsid w:val="00E43AAE"/>
    <w:rsid w:val="00E43D93"/>
    <w:rsid w:val="00E43FB2"/>
    <w:rsid w:val="00E4506A"/>
    <w:rsid w:val="00E4525F"/>
    <w:rsid w:val="00E46170"/>
    <w:rsid w:val="00E462AE"/>
    <w:rsid w:val="00E46595"/>
    <w:rsid w:val="00E4715C"/>
    <w:rsid w:val="00E47971"/>
    <w:rsid w:val="00E502C0"/>
    <w:rsid w:val="00E50A06"/>
    <w:rsid w:val="00E51472"/>
    <w:rsid w:val="00E51DAC"/>
    <w:rsid w:val="00E51FDC"/>
    <w:rsid w:val="00E5341C"/>
    <w:rsid w:val="00E5378D"/>
    <w:rsid w:val="00E5489F"/>
    <w:rsid w:val="00E54941"/>
    <w:rsid w:val="00E55952"/>
    <w:rsid w:val="00E55C12"/>
    <w:rsid w:val="00E56724"/>
    <w:rsid w:val="00E57272"/>
    <w:rsid w:val="00E575DE"/>
    <w:rsid w:val="00E60D1A"/>
    <w:rsid w:val="00E610BE"/>
    <w:rsid w:val="00E613B3"/>
    <w:rsid w:val="00E61408"/>
    <w:rsid w:val="00E617C7"/>
    <w:rsid w:val="00E61A01"/>
    <w:rsid w:val="00E61A1E"/>
    <w:rsid w:val="00E61CEE"/>
    <w:rsid w:val="00E61D2D"/>
    <w:rsid w:val="00E6201C"/>
    <w:rsid w:val="00E62298"/>
    <w:rsid w:val="00E622F5"/>
    <w:rsid w:val="00E623CE"/>
    <w:rsid w:val="00E62B69"/>
    <w:rsid w:val="00E62C6F"/>
    <w:rsid w:val="00E6470D"/>
    <w:rsid w:val="00E65005"/>
    <w:rsid w:val="00E65B2F"/>
    <w:rsid w:val="00E65B6B"/>
    <w:rsid w:val="00E66CC3"/>
    <w:rsid w:val="00E66DC6"/>
    <w:rsid w:val="00E66DD2"/>
    <w:rsid w:val="00E6706E"/>
    <w:rsid w:val="00E67DFE"/>
    <w:rsid w:val="00E67F92"/>
    <w:rsid w:val="00E711FA"/>
    <w:rsid w:val="00E716CD"/>
    <w:rsid w:val="00E71820"/>
    <w:rsid w:val="00E719C9"/>
    <w:rsid w:val="00E71E59"/>
    <w:rsid w:val="00E72528"/>
    <w:rsid w:val="00E72A93"/>
    <w:rsid w:val="00E72C2A"/>
    <w:rsid w:val="00E73788"/>
    <w:rsid w:val="00E738DF"/>
    <w:rsid w:val="00E745D3"/>
    <w:rsid w:val="00E74924"/>
    <w:rsid w:val="00E74BEE"/>
    <w:rsid w:val="00E751DF"/>
    <w:rsid w:val="00E754F4"/>
    <w:rsid w:val="00E76099"/>
    <w:rsid w:val="00E76196"/>
    <w:rsid w:val="00E763C3"/>
    <w:rsid w:val="00E76AD0"/>
    <w:rsid w:val="00E76BF9"/>
    <w:rsid w:val="00E76C2C"/>
    <w:rsid w:val="00E76E0C"/>
    <w:rsid w:val="00E76F05"/>
    <w:rsid w:val="00E80948"/>
    <w:rsid w:val="00E8178F"/>
    <w:rsid w:val="00E81B07"/>
    <w:rsid w:val="00E81F83"/>
    <w:rsid w:val="00E821BF"/>
    <w:rsid w:val="00E82D14"/>
    <w:rsid w:val="00E8326D"/>
    <w:rsid w:val="00E835FB"/>
    <w:rsid w:val="00E83EF0"/>
    <w:rsid w:val="00E842BB"/>
    <w:rsid w:val="00E85D6B"/>
    <w:rsid w:val="00E86487"/>
    <w:rsid w:val="00E87227"/>
    <w:rsid w:val="00E872F5"/>
    <w:rsid w:val="00E87F9B"/>
    <w:rsid w:val="00E901E8"/>
    <w:rsid w:val="00E904DA"/>
    <w:rsid w:val="00E90A0A"/>
    <w:rsid w:val="00E9208A"/>
    <w:rsid w:val="00E92A22"/>
    <w:rsid w:val="00E94884"/>
    <w:rsid w:val="00E9559A"/>
    <w:rsid w:val="00E96E97"/>
    <w:rsid w:val="00E978FE"/>
    <w:rsid w:val="00E97902"/>
    <w:rsid w:val="00EA0869"/>
    <w:rsid w:val="00EA24C4"/>
    <w:rsid w:val="00EA2630"/>
    <w:rsid w:val="00EA2ADF"/>
    <w:rsid w:val="00EA31D8"/>
    <w:rsid w:val="00EA3ABA"/>
    <w:rsid w:val="00EA44C3"/>
    <w:rsid w:val="00EA4565"/>
    <w:rsid w:val="00EA496C"/>
    <w:rsid w:val="00EA4A50"/>
    <w:rsid w:val="00EA4CAE"/>
    <w:rsid w:val="00EA5AE4"/>
    <w:rsid w:val="00EA721F"/>
    <w:rsid w:val="00EA75FC"/>
    <w:rsid w:val="00EA7A1E"/>
    <w:rsid w:val="00EA7F27"/>
    <w:rsid w:val="00EB0961"/>
    <w:rsid w:val="00EB0DE5"/>
    <w:rsid w:val="00EB2E46"/>
    <w:rsid w:val="00EB34BB"/>
    <w:rsid w:val="00EB3769"/>
    <w:rsid w:val="00EB3DEC"/>
    <w:rsid w:val="00EB3E77"/>
    <w:rsid w:val="00EB3EF5"/>
    <w:rsid w:val="00EB455D"/>
    <w:rsid w:val="00EB502A"/>
    <w:rsid w:val="00EB5B56"/>
    <w:rsid w:val="00EB65D1"/>
    <w:rsid w:val="00EB68B9"/>
    <w:rsid w:val="00EB6D6D"/>
    <w:rsid w:val="00EB72FA"/>
    <w:rsid w:val="00EB790D"/>
    <w:rsid w:val="00EC0016"/>
    <w:rsid w:val="00EC1009"/>
    <w:rsid w:val="00EC1135"/>
    <w:rsid w:val="00EC328F"/>
    <w:rsid w:val="00EC37E7"/>
    <w:rsid w:val="00EC444B"/>
    <w:rsid w:val="00EC468A"/>
    <w:rsid w:val="00EC5125"/>
    <w:rsid w:val="00EC53B4"/>
    <w:rsid w:val="00EC56B9"/>
    <w:rsid w:val="00EC617F"/>
    <w:rsid w:val="00EC6219"/>
    <w:rsid w:val="00EC64BD"/>
    <w:rsid w:val="00EC70D0"/>
    <w:rsid w:val="00EC7639"/>
    <w:rsid w:val="00EC7E31"/>
    <w:rsid w:val="00EC7F3E"/>
    <w:rsid w:val="00ED0178"/>
    <w:rsid w:val="00ED052B"/>
    <w:rsid w:val="00ED06CC"/>
    <w:rsid w:val="00ED0C7A"/>
    <w:rsid w:val="00ED1376"/>
    <w:rsid w:val="00ED16AA"/>
    <w:rsid w:val="00ED1C88"/>
    <w:rsid w:val="00ED269B"/>
    <w:rsid w:val="00ED3979"/>
    <w:rsid w:val="00ED3FBC"/>
    <w:rsid w:val="00ED5628"/>
    <w:rsid w:val="00ED5732"/>
    <w:rsid w:val="00ED614D"/>
    <w:rsid w:val="00ED6B54"/>
    <w:rsid w:val="00ED71E3"/>
    <w:rsid w:val="00ED74D8"/>
    <w:rsid w:val="00ED7AA5"/>
    <w:rsid w:val="00ED7D1F"/>
    <w:rsid w:val="00ED7EB2"/>
    <w:rsid w:val="00EE09FD"/>
    <w:rsid w:val="00EE11C6"/>
    <w:rsid w:val="00EE194E"/>
    <w:rsid w:val="00EE1BCE"/>
    <w:rsid w:val="00EE2152"/>
    <w:rsid w:val="00EE2734"/>
    <w:rsid w:val="00EE2A69"/>
    <w:rsid w:val="00EE3076"/>
    <w:rsid w:val="00EE321B"/>
    <w:rsid w:val="00EE361E"/>
    <w:rsid w:val="00EE39B2"/>
    <w:rsid w:val="00EE3EA7"/>
    <w:rsid w:val="00EE444B"/>
    <w:rsid w:val="00EE57FC"/>
    <w:rsid w:val="00EE64DE"/>
    <w:rsid w:val="00EE6B16"/>
    <w:rsid w:val="00EE6D95"/>
    <w:rsid w:val="00EE789A"/>
    <w:rsid w:val="00EE7907"/>
    <w:rsid w:val="00EF0FA5"/>
    <w:rsid w:val="00EF283E"/>
    <w:rsid w:val="00EF3C5F"/>
    <w:rsid w:val="00EF497C"/>
    <w:rsid w:val="00EF57B3"/>
    <w:rsid w:val="00EF5A1C"/>
    <w:rsid w:val="00EF5B7D"/>
    <w:rsid w:val="00EF5B97"/>
    <w:rsid w:val="00EF5F1A"/>
    <w:rsid w:val="00EF7C7C"/>
    <w:rsid w:val="00EF7FA4"/>
    <w:rsid w:val="00F007DE"/>
    <w:rsid w:val="00F01218"/>
    <w:rsid w:val="00F01257"/>
    <w:rsid w:val="00F01E41"/>
    <w:rsid w:val="00F0224D"/>
    <w:rsid w:val="00F02690"/>
    <w:rsid w:val="00F037C5"/>
    <w:rsid w:val="00F04103"/>
    <w:rsid w:val="00F04478"/>
    <w:rsid w:val="00F04826"/>
    <w:rsid w:val="00F048B7"/>
    <w:rsid w:val="00F04F66"/>
    <w:rsid w:val="00F05A72"/>
    <w:rsid w:val="00F066F9"/>
    <w:rsid w:val="00F070CE"/>
    <w:rsid w:val="00F07792"/>
    <w:rsid w:val="00F07971"/>
    <w:rsid w:val="00F07A2D"/>
    <w:rsid w:val="00F07D14"/>
    <w:rsid w:val="00F07F16"/>
    <w:rsid w:val="00F10177"/>
    <w:rsid w:val="00F1045F"/>
    <w:rsid w:val="00F10AAF"/>
    <w:rsid w:val="00F10F97"/>
    <w:rsid w:val="00F1101A"/>
    <w:rsid w:val="00F115AB"/>
    <w:rsid w:val="00F11876"/>
    <w:rsid w:val="00F11E90"/>
    <w:rsid w:val="00F12968"/>
    <w:rsid w:val="00F12E4F"/>
    <w:rsid w:val="00F1350C"/>
    <w:rsid w:val="00F13891"/>
    <w:rsid w:val="00F14EAE"/>
    <w:rsid w:val="00F15219"/>
    <w:rsid w:val="00F1522C"/>
    <w:rsid w:val="00F15A75"/>
    <w:rsid w:val="00F1601F"/>
    <w:rsid w:val="00F16F1B"/>
    <w:rsid w:val="00F1777F"/>
    <w:rsid w:val="00F20414"/>
    <w:rsid w:val="00F2149D"/>
    <w:rsid w:val="00F2367B"/>
    <w:rsid w:val="00F23C64"/>
    <w:rsid w:val="00F24305"/>
    <w:rsid w:val="00F24789"/>
    <w:rsid w:val="00F24A73"/>
    <w:rsid w:val="00F25190"/>
    <w:rsid w:val="00F2648E"/>
    <w:rsid w:val="00F26594"/>
    <w:rsid w:val="00F26D83"/>
    <w:rsid w:val="00F276AE"/>
    <w:rsid w:val="00F301D6"/>
    <w:rsid w:val="00F31410"/>
    <w:rsid w:val="00F31F46"/>
    <w:rsid w:val="00F32019"/>
    <w:rsid w:val="00F32221"/>
    <w:rsid w:val="00F3350B"/>
    <w:rsid w:val="00F33670"/>
    <w:rsid w:val="00F33B6A"/>
    <w:rsid w:val="00F33D4A"/>
    <w:rsid w:val="00F34813"/>
    <w:rsid w:val="00F3535D"/>
    <w:rsid w:val="00F36072"/>
    <w:rsid w:val="00F367FC"/>
    <w:rsid w:val="00F37D07"/>
    <w:rsid w:val="00F400C8"/>
    <w:rsid w:val="00F40197"/>
    <w:rsid w:val="00F40F7D"/>
    <w:rsid w:val="00F41AA6"/>
    <w:rsid w:val="00F437DA"/>
    <w:rsid w:val="00F45DCA"/>
    <w:rsid w:val="00F46168"/>
    <w:rsid w:val="00F469B6"/>
    <w:rsid w:val="00F470A2"/>
    <w:rsid w:val="00F475AE"/>
    <w:rsid w:val="00F47D1C"/>
    <w:rsid w:val="00F47DB8"/>
    <w:rsid w:val="00F500D3"/>
    <w:rsid w:val="00F50889"/>
    <w:rsid w:val="00F518B1"/>
    <w:rsid w:val="00F52D13"/>
    <w:rsid w:val="00F53705"/>
    <w:rsid w:val="00F53C48"/>
    <w:rsid w:val="00F53D6B"/>
    <w:rsid w:val="00F541FD"/>
    <w:rsid w:val="00F54520"/>
    <w:rsid w:val="00F54EEE"/>
    <w:rsid w:val="00F56205"/>
    <w:rsid w:val="00F5680B"/>
    <w:rsid w:val="00F57902"/>
    <w:rsid w:val="00F6151C"/>
    <w:rsid w:val="00F615F3"/>
    <w:rsid w:val="00F61B53"/>
    <w:rsid w:val="00F62771"/>
    <w:rsid w:val="00F629E5"/>
    <w:rsid w:val="00F64745"/>
    <w:rsid w:val="00F64A37"/>
    <w:rsid w:val="00F65062"/>
    <w:rsid w:val="00F65430"/>
    <w:rsid w:val="00F656F6"/>
    <w:rsid w:val="00F65B66"/>
    <w:rsid w:val="00F65C90"/>
    <w:rsid w:val="00F67957"/>
    <w:rsid w:val="00F70428"/>
    <w:rsid w:val="00F710EB"/>
    <w:rsid w:val="00F71469"/>
    <w:rsid w:val="00F71A09"/>
    <w:rsid w:val="00F71D3C"/>
    <w:rsid w:val="00F72202"/>
    <w:rsid w:val="00F7259F"/>
    <w:rsid w:val="00F74269"/>
    <w:rsid w:val="00F7476C"/>
    <w:rsid w:val="00F7554C"/>
    <w:rsid w:val="00F756DC"/>
    <w:rsid w:val="00F7669E"/>
    <w:rsid w:val="00F800AB"/>
    <w:rsid w:val="00F80A35"/>
    <w:rsid w:val="00F80CEB"/>
    <w:rsid w:val="00F811D4"/>
    <w:rsid w:val="00F818BE"/>
    <w:rsid w:val="00F81A65"/>
    <w:rsid w:val="00F81F53"/>
    <w:rsid w:val="00F82852"/>
    <w:rsid w:val="00F82AE4"/>
    <w:rsid w:val="00F82B84"/>
    <w:rsid w:val="00F833B4"/>
    <w:rsid w:val="00F83F55"/>
    <w:rsid w:val="00F840DE"/>
    <w:rsid w:val="00F841B0"/>
    <w:rsid w:val="00F847BD"/>
    <w:rsid w:val="00F85DD4"/>
    <w:rsid w:val="00F85F70"/>
    <w:rsid w:val="00F861E2"/>
    <w:rsid w:val="00F872B8"/>
    <w:rsid w:val="00F87A68"/>
    <w:rsid w:val="00F90F99"/>
    <w:rsid w:val="00F91065"/>
    <w:rsid w:val="00F9109A"/>
    <w:rsid w:val="00F91266"/>
    <w:rsid w:val="00F91690"/>
    <w:rsid w:val="00F916F3"/>
    <w:rsid w:val="00F917BC"/>
    <w:rsid w:val="00F919C5"/>
    <w:rsid w:val="00F921D8"/>
    <w:rsid w:val="00F925F9"/>
    <w:rsid w:val="00F926CA"/>
    <w:rsid w:val="00F94228"/>
    <w:rsid w:val="00F95049"/>
    <w:rsid w:val="00F951E8"/>
    <w:rsid w:val="00F95336"/>
    <w:rsid w:val="00F96509"/>
    <w:rsid w:val="00F973EA"/>
    <w:rsid w:val="00FA005B"/>
    <w:rsid w:val="00FA0255"/>
    <w:rsid w:val="00FA064B"/>
    <w:rsid w:val="00FA12C4"/>
    <w:rsid w:val="00FA2DA7"/>
    <w:rsid w:val="00FA5245"/>
    <w:rsid w:val="00FA63FC"/>
    <w:rsid w:val="00FA6576"/>
    <w:rsid w:val="00FA6647"/>
    <w:rsid w:val="00FB0B45"/>
    <w:rsid w:val="00FB11A9"/>
    <w:rsid w:val="00FB1294"/>
    <w:rsid w:val="00FB2458"/>
    <w:rsid w:val="00FB2A8E"/>
    <w:rsid w:val="00FB3223"/>
    <w:rsid w:val="00FB3CF6"/>
    <w:rsid w:val="00FB5611"/>
    <w:rsid w:val="00FB5F69"/>
    <w:rsid w:val="00FB685F"/>
    <w:rsid w:val="00FB6CCC"/>
    <w:rsid w:val="00FB6CFB"/>
    <w:rsid w:val="00FB75B3"/>
    <w:rsid w:val="00FC1471"/>
    <w:rsid w:val="00FC294E"/>
    <w:rsid w:val="00FC3517"/>
    <w:rsid w:val="00FC3A1F"/>
    <w:rsid w:val="00FC42F2"/>
    <w:rsid w:val="00FC4CCF"/>
    <w:rsid w:val="00FC54A6"/>
    <w:rsid w:val="00FC6900"/>
    <w:rsid w:val="00FC6B0C"/>
    <w:rsid w:val="00FC7182"/>
    <w:rsid w:val="00FC71F3"/>
    <w:rsid w:val="00FC7F20"/>
    <w:rsid w:val="00FC7FA8"/>
    <w:rsid w:val="00FD1361"/>
    <w:rsid w:val="00FD1540"/>
    <w:rsid w:val="00FD1722"/>
    <w:rsid w:val="00FD3342"/>
    <w:rsid w:val="00FD348D"/>
    <w:rsid w:val="00FD35F8"/>
    <w:rsid w:val="00FD364B"/>
    <w:rsid w:val="00FD44B9"/>
    <w:rsid w:val="00FD451B"/>
    <w:rsid w:val="00FD48DD"/>
    <w:rsid w:val="00FD511F"/>
    <w:rsid w:val="00FD6563"/>
    <w:rsid w:val="00FD65A8"/>
    <w:rsid w:val="00FD7B68"/>
    <w:rsid w:val="00FD7F40"/>
    <w:rsid w:val="00FE0123"/>
    <w:rsid w:val="00FE01EE"/>
    <w:rsid w:val="00FE0369"/>
    <w:rsid w:val="00FE08F4"/>
    <w:rsid w:val="00FE09BF"/>
    <w:rsid w:val="00FE0F0F"/>
    <w:rsid w:val="00FE1591"/>
    <w:rsid w:val="00FE2928"/>
    <w:rsid w:val="00FE45E7"/>
    <w:rsid w:val="00FE462F"/>
    <w:rsid w:val="00FE5508"/>
    <w:rsid w:val="00FE5BB3"/>
    <w:rsid w:val="00FE615F"/>
    <w:rsid w:val="00FE6A16"/>
    <w:rsid w:val="00FE7FE3"/>
    <w:rsid w:val="00FF01CB"/>
    <w:rsid w:val="00FF2942"/>
    <w:rsid w:val="00FF2D58"/>
    <w:rsid w:val="00FF4776"/>
    <w:rsid w:val="00FF47F8"/>
    <w:rsid w:val="00FF4D69"/>
    <w:rsid w:val="00FF5C43"/>
    <w:rsid w:val="00FF5F74"/>
    <w:rsid w:val="00FF608C"/>
    <w:rsid w:val="00FF6ED2"/>
    <w:rsid w:val="00FF75EA"/>
    <w:rsid w:val="00FF7AED"/>
    <w:rsid w:val="00FF7AFF"/>
    <w:rsid w:val="0549310D"/>
    <w:rsid w:val="05D75401"/>
    <w:rsid w:val="06C74D48"/>
    <w:rsid w:val="07724DC9"/>
    <w:rsid w:val="09320774"/>
    <w:rsid w:val="099A796F"/>
    <w:rsid w:val="0A093934"/>
    <w:rsid w:val="0C651A70"/>
    <w:rsid w:val="0D2175AD"/>
    <w:rsid w:val="0EC24AC6"/>
    <w:rsid w:val="0F5628F7"/>
    <w:rsid w:val="0FBF4CC3"/>
    <w:rsid w:val="11C43DBA"/>
    <w:rsid w:val="13C31220"/>
    <w:rsid w:val="14AB17AF"/>
    <w:rsid w:val="178A101D"/>
    <w:rsid w:val="193C6776"/>
    <w:rsid w:val="194C1E3D"/>
    <w:rsid w:val="1A89262F"/>
    <w:rsid w:val="1AEB4372"/>
    <w:rsid w:val="1B4D7B6A"/>
    <w:rsid w:val="1BCE1DA5"/>
    <w:rsid w:val="1C804010"/>
    <w:rsid w:val="1F3F5757"/>
    <w:rsid w:val="1FCF3069"/>
    <w:rsid w:val="200D79F0"/>
    <w:rsid w:val="20816304"/>
    <w:rsid w:val="21D42E1A"/>
    <w:rsid w:val="25CD60D0"/>
    <w:rsid w:val="263B1911"/>
    <w:rsid w:val="26D83AA5"/>
    <w:rsid w:val="285A3BF0"/>
    <w:rsid w:val="28DD7725"/>
    <w:rsid w:val="29441DA0"/>
    <w:rsid w:val="2B99288C"/>
    <w:rsid w:val="2C112906"/>
    <w:rsid w:val="2C162E14"/>
    <w:rsid w:val="2DD52521"/>
    <w:rsid w:val="2E381653"/>
    <w:rsid w:val="2FE46AEB"/>
    <w:rsid w:val="32BB35AD"/>
    <w:rsid w:val="34B96729"/>
    <w:rsid w:val="358C7384"/>
    <w:rsid w:val="36477EB4"/>
    <w:rsid w:val="36F80CB0"/>
    <w:rsid w:val="371D1D3A"/>
    <w:rsid w:val="378845F5"/>
    <w:rsid w:val="3AC759C8"/>
    <w:rsid w:val="3BA7459C"/>
    <w:rsid w:val="3C8C6AC7"/>
    <w:rsid w:val="3CA97F1D"/>
    <w:rsid w:val="3D893503"/>
    <w:rsid w:val="3DA613FB"/>
    <w:rsid w:val="3E49128E"/>
    <w:rsid w:val="3FE128DB"/>
    <w:rsid w:val="405003D8"/>
    <w:rsid w:val="41687BA2"/>
    <w:rsid w:val="41D308D6"/>
    <w:rsid w:val="42FC6D43"/>
    <w:rsid w:val="44884667"/>
    <w:rsid w:val="45D71914"/>
    <w:rsid w:val="461767B6"/>
    <w:rsid w:val="47246B67"/>
    <w:rsid w:val="475238D8"/>
    <w:rsid w:val="47F66B90"/>
    <w:rsid w:val="4882510C"/>
    <w:rsid w:val="495633CD"/>
    <w:rsid w:val="49F23B31"/>
    <w:rsid w:val="4AA14F93"/>
    <w:rsid w:val="4C5043A5"/>
    <w:rsid w:val="4C583B11"/>
    <w:rsid w:val="4D3802FB"/>
    <w:rsid w:val="4DF36844"/>
    <w:rsid w:val="4FAB2262"/>
    <w:rsid w:val="50B9716B"/>
    <w:rsid w:val="510D7024"/>
    <w:rsid w:val="56A96F45"/>
    <w:rsid w:val="56DC15B2"/>
    <w:rsid w:val="58170A4B"/>
    <w:rsid w:val="58B672B4"/>
    <w:rsid w:val="5BB62186"/>
    <w:rsid w:val="607B4DA0"/>
    <w:rsid w:val="610055C5"/>
    <w:rsid w:val="62EE57E0"/>
    <w:rsid w:val="63377ED0"/>
    <w:rsid w:val="65DF68BE"/>
    <w:rsid w:val="6765043A"/>
    <w:rsid w:val="68DA5364"/>
    <w:rsid w:val="694C7C87"/>
    <w:rsid w:val="6A0D2B07"/>
    <w:rsid w:val="6AC35AE7"/>
    <w:rsid w:val="6C0D29F1"/>
    <w:rsid w:val="6D067B11"/>
    <w:rsid w:val="6D3B450F"/>
    <w:rsid w:val="6E4A737B"/>
    <w:rsid w:val="6E71431D"/>
    <w:rsid w:val="6EDE4282"/>
    <w:rsid w:val="6F2D5A3F"/>
    <w:rsid w:val="704C7A29"/>
    <w:rsid w:val="72552E8E"/>
    <w:rsid w:val="728C62CB"/>
    <w:rsid w:val="728D56F1"/>
    <w:rsid w:val="745E57D6"/>
    <w:rsid w:val="751026A7"/>
    <w:rsid w:val="768E47D2"/>
    <w:rsid w:val="76DE2200"/>
    <w:rsid w:val="76F638A8"/>
    <w:rsid w:val="787931CB"/>
    <w:rsid w:val="78FD1598"/>
    <w:rsid w:val="79A858D2"/>
    <w:rsid w:val="7A716201"/>
    <w:rsid w:val="7B307FD4"/>
    <w:rsid w:val="7BBD111C"/>
    <w:rsid w:val="7BE05C35"/>
    <w:rsid w:val="7E423070"/>
    <w:rsid w:val="7FB009C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name="index heading"/>
    <w:lsdException w:qFormat="1" w:unhideWhenUsed="0" w:uiPriority="99"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0" w:semiHidden="0" w:name="Body Text First Indent"/>
    <w:lsdException w:qFormat="1"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qFormat="1" w:unhideWhenUsed="0" w:uiPriority="0" w:semiHidden="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styleId="2">
    <w:name w:val="heading 1"/>
    <w:basedOn w:val="1"/>
    <w:next w:val="1"/>
    <w:link w:val="33"/>
    <w:qFormat/>
    <w:uiPriority w:val="0"/>
    <w:pPr>
      <w:keepNext/>
      <w:keepLines/>
      <w:spacing w:before="340" w:after="330" w:line="578" w:lineRule="atLeast"/>
      <w:outlineLvl w:val="0"/>
    </w:pPr>
    <w:rPr>
      <w:b/>
      <w:bCs/>
      <w:kern w:val="44"/>
      <w:sz w:val="44"/>
      <w:szCs w:val="44"/>
    </w:rPr>
  </w:style>
  <w:style w:type="paragraph" w:styleId="3">
    <w:name w:val="heading 2"/>
    <w:next w:val="4"/>
    <w:qFormat/>
    <w:uiPriority w:val="0"/>
    <w:pPr>
      <w:keepNext/>
      <w:keepLines/>
      <w:spacing w:beforeLines="50"/>
      <w:outlineLvl w:val="1"/>
    </w:pPr>
    <w:rPr>
      <w:rFonts w:ascii="Times New Roman" w:hAnsi="Times New Roman" w:eastAsia="宋体" w:cs="Times New Roman"/>
      <w:b/>
      <w:bCs/>
      <w:kern w:val="2"/>
      <w:sz w:val="24"/>
      <w:szCs w:val="24"/>
      <w:lang w:val="en-US" w:eastAsia="zh-CN" w:bidi="ar-SA"/>
    </w:rPr>
  </w:style>
  <w:style w:type="paragraph" w:styleId="5">
    <w:name w:val="heading 3"/>
    <w:basedOn w:val="1"/>
    <w:next w:val="1"/>
    <w:qFormat/>
    <w:uiPriority w:val="0"/>
    <w:pPr>
      <w:keepNext/>
      <w:keepLines/>
      <w:adjustRightInd/>
      <w:spacing w:before="260" w:after="260" w:line="416" w:lineRule="auto"/>
      <w:textAlignment w:val="auto"/>
      <w:outlineLvl w:val="2"/>
    </w:pPr>
    <w:rPr>
      <w:b/>
      <w:bCs/>
      <w:kern w:val="2"/>
      <w:sz w:val="32"/>
      <w:szCs w:val="32"/>
    </w:rPr>
  </w:style>
  <w:style w:type="paragraph" w:styleId="6">
    <w:name w:val="heading 4"/>
    <w:basedOn w:val="1"/>
    <w:next w:val="1"/>
    <w:qFormat/>
    <w:uiPriority w:val="0"/>
    <w:pPr>
      <w:keepNext/>
      <w:keepLines/>
      <w:spacing w:before="280" w:after="290" w:line="376" w:lineRule="atLeast"/>
      <w:outlineLvl w:val="3"/>
    </w:pPr>
    <w:rPr>
      <w:rFonts w:ascii="Arial" w:hAnsi="Arial" w:eastAsia="黑体"/>
      <w:b/>
      <w:bCs/>
      <w:sz w:val="28"/>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customStyle="1" w:styleId="4">
    <w:name w:val="正文小四"/>
    <w:qFormat/>
    <w:uiPriority w:val="0"/>
    <w:pPr>
      <w:spacing w:line="360" w:lineRule="auto"/>
      <w:ind w:firstLine="200" w:firstLineChars="200"/>
    </w:pPr>
    <w:rPr>
      <w:rFonts w:ascii="Times New Roman" w:hAnsi="Times New Roman" w:eastAsia="宋体" w:cs="Times New Roman"/>
      <w:kern w:val="2"/>
      <w:sz w:val="24"/>
      <w:szCs w:val="24"/>
      <w:lang w:val="en-US" w:eastAsia="zh-CN" w:bidi="ar-SA"/>
    </w:rPr>
  </w:style>
  <w:style w:type="paragraph" w:styleId="7">
    <w:name w:val="Normal Indent"/>
    <w:basedOn w:val="1"/>
    <w:link w:val="37"/>
    <w:qFormat/>
    <w:uiPriority w:val="0"/>
    <w:pPr>
      <w:adjustRightInd/>
      <w:spacing w:line="240" w:lineRule="auto"/>
      <w:ind w:firstLine="420" w:firstLineChars="200"/>
      <w:textAlignment w:val="auto"/>
    </w:pPr>
    <w:rPr>
      <w:kern w:val="2"/>
      <w:szCs w:val="24"/>
    </w:rPr>
  </w:style>
  <w:style w:type="paragraph" w:styleId="8">
    <w:name w:val="caption"/>
    <w:basedOn w:val="1"/>
    <w:next w:val="1"/>
    <w:link w:val="46"/>
    <w:qFormat/>
    <w:uiPriority w:val="99"/>
    <w:pPr>
      <w:widowControl/>
      <w:adjustRightInd/>
      <w:spacing w:line="460" w:lineRule="exact"/>
      <w:ind w:firstLine="482" w:firstLineChars="200"/>
      <w:textAlignment w:val="auto"/>
    </w:pPr>
    <w:rPr>
      <w:rFonts w:ascii="宋体" w:hAnsi="宋体" w:eastAsia="Times New Roman"/>
      <w:b/>
      <w:sz w:val="24"/>
      <w:szCs w:val="24"/>
    </w:rPr>
  </w:style>
  <w:style w:type="paragraph" w:styleId="9">
    <w:name w:val="Document Map"/>
    <w:basedOn w:val="1"/>
    <w:semiHidden/>
    <w:qFormat/>
    <w:uiPriority w:val="0"/>
    <w:pPr>
      <w:shd w:val="clear" w:color="auto" w:fill="000080"/>
    </w:pPr>
  </w:style>
  <w:style w:type="paragraph" w:styleId="10">
    <w:name w:val="annotation text"/>
    <w:basedOn w:val="1"/>
    <w:link w:val="83"/>
    <w:qFormat/>
    <w:uiPriority w:val="0"/>
    <w:pPr>
      <w:jc w:val="left"/>
    </w:pPr>
  </w:style>
  <w:style w:type="paragraph" w:styleId="11">
    <w:name w:val="Body Text"/>
    <w:basedOn w:val="1"/>
    <w:link w:val="108"/>
    <w:qFormat/>
    <w:uiPriority w:val="0"/>
    <w:pPr>
      <w:spacing w:after="120"/>
    </w:pPr>
  </w:style>
  <w:style w:type="paragraph" w:styleId="12">
    <w:name w:val="Body Text Indent"/>
    <w:basedOn w:val="1"/>
    <w:link w:val="90"/>
    <w:qFormat/>
    <w:uiPriority w:val="0"/>
    <w:pPr>
      <w:adjustRightInd/>
      <w:spacing w:line="500" w:lineRule="exact"/>
      <w:ind w:left="356"/>
      <w:jc w:val="left"/>
      <w:textAlignment w:val="auto"/>
    </w:pPr>
    <w:rPr>
      <w:bCs/>
      <w:kern w:val="2"/>
      <w:sz w:val="30"/>
    </w:rPr>
  </w:style>
  <w:style w:type="paragraph" w:styleId="13">
    <w:name w:val="Block Text"/>
    <w:basedOn w:val="1"/>
    <w:qFormat/>
    <w:uiPriority w:val="0"/>
    <w:pPr>
      <w:spacing w:before="120" w:line="440" w:lineRule="exact"/>
      <w:ind w:left="284" w:right="284" w:firstLine="567"/>
      <w:textAlignment w:val="auto"/>
    </w:pPr>
    <w:rPr>
      <w:rFonts w:ascii="楷体_GB2312" w:eastAsia="楷体_GB2312"/>
      <w:spacing w:val="-2"/>
      <w:sz w:val="28"/>
    </w:rPr>
  </w:style>
  <w:style w:type="paragraph" w:styleId="14">
    <w:name w:val="Plain Text"/>
    <w:basedOn w:val="1"/>
    <w:link w:val="38"/>
    <w:qFormat/>
    <w:uiPriority w:val="0"/>
    <w:pPr>
      <w:adjustRightInd/>
      <w:spacing w:line="240" w:lineRule="auto"/>
      <w:textAlignment w:val="auto"/>
    </w:pPr>
    <w:rPr>
      <w:rFonts w:ascii="宋体" w:hAnsi="Courier New"/>
      <w:kern w:val="2"/>
    </w:rPr>
  </w:style>
  <w:style w:type="paragraph" w:styleId="15">
    <w:name w:val="Date"/>
    <w:basedOn w:val="1"/>
    <w:next w:val="1"/>
    <w:qFormat/>
    <w:uiPriority w:val="0"/>
    <w:pPr>
      <w:adjustRightInd/>
      <w:spacing w:line="240" w:lineRule="auto"/>
      <w:ind w:left="100" w:leftChars="2500"/>
      <w:textAlignment w:val="auto"/>
    </w:pPr>
    <w:rPr>
      <w:rFonts w:eastAsia="仿宋_GB2312"/>
      <w:color w:val="000000"/>
      <w:kern w:val="2"/>
      <w:sz w:val="28"/>
    </w:rPr>
  </w:style>
  <w:style w:type="paragraph" w:styleId="16">
    <w:name w:val="Body Text Indent 2"/>
    <w:basedOn w:val="1"/>
    <w:qFormat/>
    <w:uiPriority w:val="0"/>
    <w:pPr>
      <w:spacing w:after="120" w:line="480" w:lineRule="auto"/>
      <w:ind w:left="420" w:leftChars="200"/>
    </w:pPr>
  </w:style>
  <w:style w:type="paragraph" w:styleId="17">
    <w:name w:val="Balloon Text"/>
    <w:basedOn w:val="1"/>
    <w:link w:val="45"/>
    <w:qFormat/>
    <w:uiPriority w:val="0"/>
    <w:pPr>
      <w:spacing w:line="240" w:lineRule="auto"/>
    </w:pPr>
    <w:rPr>
      <w:sz w:val="18"/>
      <w:szCs w:val="18"/>
    </w:rPr>
  </w:style>
  <w:style w:type="paragraph" w:styleId="18">
    <w:name w:val="footer"/>
    <w:basedOn w:val="1"/>
    <w:link w:val="39"/>
    <w:qFormat/>
    <w:uiPriority w:val="99"/>
    <w:pPr>
      <w:tabs>
        <w:tab w:val="center" w:pos="4153"/>
        <w:tab w:val="right" w:pos="8306"/>
      </w:tabs>
      <w:snapToGrid w:val="0"/>
      <w:spacing w:line="240" w:lineRule="atLeast"/>
      <w:jc w:val="left"/>
    </w:pPr>
    <w:rPr>
      <w:sz w:val="18"/>
      <w:szCs w:val="18"/>
    </w:rPr>
  </w:style>
  <w:style w:type="paragraph" w:styleId="19">
    <w:name w:val="header"/>
    <w:basedOn w:val="1"/>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20">
    <w:name w:val="index heading"/>
    <w:basedOn w:val="1"/>
    <w:next w:val="21"/>
    <w:semiHidden/>
    <w:qFormat/>
    <w:uiPriority w:val="0"/>
    <w:pPr>
      <w:adjustRightInd/>
      <w:spacing w:line="240" w:lineRule="auto"/>
      <w:textAlignment w:val="auto"/>
    </w:pPr>
    <w:rPr>
      <w:kern w:val="2"/>
    </w:rPr>
  </w:style>
  <w:style w:type="paragraph" w:styleId="21">
    <w:name w:val="index 1"/>
    <w:basedOn w:val="1"/>
    <w:next w:val="1"/>
    <w:semiHidden/>
    <w:qFormat/>
    <w:uiPriority w:val="0"/>
    <w:pPr>
      <w:adjustRightInd/>
      <w:spacing w:line="360" w:lineRule="auto"/>
      <w:jc w:val="left"/>
      <w:textAlignment w:val="auto"/>
    </w:pPr>
    <w:rPr>
      <w:kern w:val="2"/>
      <w:sz w:val="24"/>
      <w:szCs w:val="24"/>
    </w:rPr>
  </w:style>
  <w:style w:type="paragraph" w:styleId="22">
    <w:name w:val="HTML Preformatted"/>
    <w:basedOn w:val="1"/>
    <w:link w:val="86"/>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pPr>
    <w:rPr>
      <w:rFonts w:ascii="宋体" w:hAnsi="宋体" w:cs="宋体"/>
      <w:sz w:val="24"/>
      <w:szCs w:val="24"/>
    </w:rPr>
  </w:style>
  <w:style w:type="paragraph" w:styleId="23">
    <w:name w:val="Normal (Web)"/>
    <w:basedOn w:val="1"/>
    <w:qFormat/>
    <w:uiPriority w:val="0"/>
    <w:pPr>
      <w:widowControl/>
      <w:spacing w:before="100" w:beforeAutospacing="1" w:after="100" w:afterAutospacing="1"/>
      <w:jc w:val="left"/>
    </w:pPr>
    <w:rPr>
      <w:rFonts w:ascii="宋体" w:hAnsi="宋体" w:cs="宋体"/>
      <w:sz w:val="24"/>
      <w:szCs w:val="24"/>
    </w:rPr>
  </w:style>
  <w:style w:type="paragraph" w:styleId="24">
    <w:name w:val="annotation subject"/>
    <w:basedOn w:val="10"/>
    <w:next w:val="10"/>
    <w:semiHidden/>
    <w:qFormat/>
    <w:uiPriority w:val="0"/>
    <w:rPr>
      <w:b/>
      <w:bCs/>
    </w:rPr>
  </w:style>
  <w:style w:type="paragraph" w:styleId="25">
    <w:name w:val="Body Text First Indent"/>
    <w:basedOn w:val="11"/>
    <w:link w:val="109"/>
    <w:unhideWhenUsed/>
    <w:qFormat/>
    <w:uiPriority w:val="0"/>
    <w:pPr>
      <w:adjustRightInd/>
      <w:spacing w:line="240" w:lineRule="auto"/>
      <w:ind w:firstLine="420" w:firstLineChars="100"/>
      <w:textAlignment w:val="auto"/>
    </w:pPr>
    <w:rPr>
      <w:kern w:val="2"/>
    </w:rPr>
  </w:style>
  <w:style w:type="paragraph" w:styleId="26">
    <w:name w:val="Body Text First Indent 2"/>
    <w:basedOn w:val="12"/>
    <w:link w:val="110"/>
    <w:semiHidden/>
    <w:unhideWhenUsed/>
    <w:qFormat/>
    <w:uiPriority w:val="0"/>
    <w:pPr>
      <w:adjustRightInd w:val="0"/>
      <w:spacing w:after="120" w:line="312" w:lineRule="atLeast"/>
      <w:ind w:left="420" w:leftChars="200" w:firstLine="420" w:firstLineChars="200"/>
      <w:jc w:val="both"/>
      <w:textAlignment w:val="baseline"/>
    </w:pPr>
    <w:rPr>
      <w:bCs w:val="0"/>
      <w:kern w:val="0"/>
      <w:sz w:val="21"/>
    </w:rPr>
  </w:style>
  <w:style w:type="table" w:styleId="28">
    <w:name w:val="Table Grid"/>
    <w:basedOn w:val="27"/>
    <w:qFormat/>
    <w:uiPriority w:val="39"/>
    <w:pPr>
      <w:widowControl w:val="0"/>
      <w:adjustRightInd w:val="0"/>
      <w:spacing w:line="312" w:lineRule="atLeast"/>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page number"/>
    <w:basedOn w:val="29"/>
    <w:qFormat/>
    <w:uiPriority w:val="0"/>
  </w:style>
  <w:style w:type="character" w:styleId="31">
    <w:name w:val="Hyperlink"/>
    <w:basedOn w:val="29"/>
    <w:unhideWhenUsed/>
    <w:qFormat/>
    <w:uiPriority w:val="99"/>
    <w:rPr>
      <w:color w:val="0000FF"/>
      <w:u w:val="single"/>
    </w:rPr>
  </w:style>
  <w:style w:type="character" w:styleId="32">
    <w:name w:val="annotation reference"/>
    <w:basedOn w:val="29"/>
    <w:qFormat/>
    <w:uiPriority w:val="0"/>
    <w:rPr>
      <w:sz w:val="21"/>
      <w:szCs w:val="21"/>
    </w:rPr>
  </w:style>
  <w:style w:type="character" w:customStyle="1" w:styleId="33">
    <w:name w:val="标题 1 字符"/>
    <w:basedOn w:val="29"/>
    <w:link w:val="2"/>
    <w:qFormat/>
    <w:uiPriority w:val="0"/>
    <w:rPr>
      <w:b/>
      <w:bCs/>
      <w:kern w:val="44"/>
      <w:sz w:val="44"/>
      <w:szCs w:val="44"/>
    </w:rPr>
  </w:style>
  <w:style w:type="character" w:customStyle="1" w:styleId="34">
    <w:name w:val="君邦正文 Char"/>
    <w:link w:val="35"/>
    <w:qFormat/>
    <w:uiPriority w:val="0"/>
    <w:rPr>
      <w:sz w:val="24"/>
      <w:lang w:val="en-US" w:eastAsia="zh-CN" w:bidi="ar-SA"/>
    </w:rPr>
  </w:style>
  <w:style w:type="paragraph" w:customStyle="1" w:styleId="35">
    <w:name w:val="君邦正文"/>
    <w:link w:val="34"/>
    <w:qFormat/>
    <w:uiPriority w:val="0"/>
    <w:pPr>
      <w:spacing w:after="60" w:line="360" w:lineRule="auto"/>
      <w:ind w:firstLine="480" w:firstLineChars="200"/>
      <w:jc w:val="both"/>
    </w:pPr>
    <w:rPr>
      <w:rFonts w:ascii="Times New Roman" w:hAnsi="Times New Roman" w:eastAsia="宋体" w:cs="Times New Roman"/>
      <w:sz w:val="24"/>
      <w:lang w:val="en-US" w:eastAsia="zh-CN" w:bidi="ar-SA"/>
    </w:rPr>
  </w:style>
  <w:style w:type="character" w:customStyle="1" w:styleId="36">
    <w:name w:val="apple-style-span"/>
    <w:basedOn w:val="29"/>
    <w:qFormat/>
    <w:uiPriority w:val="0"/>
  </w:style>
  <w:style w:type="character" w:customStyle="1" w:styleId="37">
    <w:name w:val="正文缩进 字符"/>
    <w:link w:val="7"/>
    <w:qFormat/>
    <w:uiPriority w:val="0"/>
    <w:rPr>
      <w:rFonts w:eastAsia="宋体"/>
      <w:kern w:val="2"/>
      <w:sz w:val="21"/>
      <w:szCs w:val="24"/>
      <w:lang w:val="en-US" w:eastAsia="zh-CN" w:bidi="ar-SA"/>
    </w:rPr>
  </w:style>
  <w:style w:type="character" w:customStyle="1" w:styleId="38">
    <w:name w:val="纯文本 字符"/>
    <w:link w:val="14"/>
    <w:qFormat/>
    <w:uiPriority w:val="0"/>
    <w:rPr>
      <w:rFonts w:ascii="宋体" w:hAnsi="Courier New" w:eastAsia="宋体"/>
      <w:kern w:val="2"/>
      <w:sz w:val="21"/>
      <w:lang w:val="en-US" w:eastAsia="zh-CN" w:bidi="ar-SA"/>
    </w:rPr>
  </w:style>
  <w:style w:type="character" w:customStyle="1" w:styleId="39">
    <w:name w:val="页脚 字符"/>
    <w:link w:val="18"/>
    <w:qFormat/>
    <w:uiPriority w:val="99"/>
    <w:rPr>
      <w:sz w:val="18"/>
      <w:szCs w:val="18"/>
    </w:rPr>
  </w:style>
  <w:style w:type="character" w:customStyle="1" w:styleId="40">
    <w:name w:val="正文1 Char"/>
    <w:link w:val="41"/>
    <w:qFormat/>
    <w:uiPriority w:val="0"/>
    <w:rPr>
      <w:rFonts w:ascii="黑体" w:eastAsia="黑体"/>
      <w:b/>
      <w:snapToGrid w:val="0"/>
      <w:sz w:val="24"/>
      <w:szCs w:val="24"/>
      <w:lang w:val="en-US" w:eastAsia="zh-CN" w:bidi="ar-SA"/>
    </w:rPr>
  </w:style>
  <w:style w:type="paragraph" w:customStyle="1" w:styleId="41">
    <w:name w:val="正文1"/>
    <w:basedOn w:val="1"/>
    <w:link w:val="40"/>
    <w:qFormat/>
    <w:uiPriority w:val="0"/>
    <w:pPr>
      <w:snapToGrid w:val="0"/>
      <w:spacing w:before="120" w:line="288" w:lineRule="auto"/>
      <w:ind w:firstLine="482" w:firstLineChars="200"/>
      <w:textAlignment w:val="auto"/>
    </w:pPr>
    <w:rPr>
      <w:rFonts w:ascii="黑体" w:eastAsia="黑体"/>
      <w:b/>
      <w:snapToGrid w:val="0"/>
      <w:sz w:val="24"/>
      <w:szCs w:val="24"/>
    </w:rPr>
  </w:style>
  <w:style w:type="character" w:customStyle="1" w:styleId="42">
    <w:name w:val="普 Char"/>
    <w:qFormat/>
    <w:uiPriority w:val="0"/>
    <w:rPr>
      <w:rFonts w:ascii="宋体" w:hAnsi="Courier New" w:eastAsia="宋体"/>
      <w:kern w:val="2"/>
      <w:sz w:val="21"/>
      <w:lang w:val="en-US" w:eastAsia="zh-CN" w:bidi="ar-SA"/>
    </w:rPr>
  </w:style>
  <w:style w:type="character" w:customStyle="1" w:styleId="43">
    <w:name w:val="ae正文zzzzzzzz Char"/>
    <w:link w:val="44"/>
    <w:qFormat/>
    <w:uiPriority w:val="0"/>
    <w:rPr>
      <w:rFonts w:cs="宋体"/>
      <w:kern w:val="2"/>
      <w:sz w:val="24"/>
    </w:rPr>
  </w:style>
  <w:style w:type="paragraph" w:customStyle="1" w:styleId="44">
    <w:name w:val="ae正文zzzzzzzz"/>
    <w:basedOn w:val="1"/>
    <w:link w:val="43"/>
    <w:qFormat/>
    <w:uiPriority w:val="0"/>
    <w:pPr>
      <w:adjustRightInd/>
      <w:spacing w:line="520" w:lineRule="exact"/>
      <w:ind w:firstLine="200" w:firstLineChars="200"/>
      <w:textAlignment w:val="auto"/>
    </w:pPr>
    <w:rPr>
      <w:rFonts w:cs="宋体"/>
      <w:kern w:val="2"/>
      <w:sz w:val="24"/>
    </w:rPr>
  </w:style>
  <w:style w:type="character" w:customStyle="1" w:styleId="45">
    <w:name w:val="批注框文本 字符"/>
    <w:link w:val="17"/>
    <w:qFormat/>
    <w:uiPriority w:val="0"/>
    <w:rPr>
      <w:sz w:val="18"/>
      <w:szCs w:val="18"/>
    </w:rPr>
  </w:style>
  <w:style w:type="character" w:customStyle="1" w:styleId="46">
    <w:name w:val="题注 字符"/>
    <w:link w:val="8"/>
    <w:qFormat/>
    <w:uiPriority w:val="99"/>
    <w:rPr>
      <w:rFonts w:ascii="宋体" w:hAnsi="宋体"/>
      <w:b/>
      <w:sz w:val="24"/>
      <w:szCs w:val="24"/>
      <w:lang w:bidi="ar-SA"/>
    </w:rPr>
  </w:style>
  <w:style w:type="character" w:customStyle="1" w:styleId="47">
    <w:name w:val="纯文本 Char Char2"/>
    <w:qFormat/>
    <w:uiPriority w:val="0"/>
    <w:rPr>
      <w:rFonts w:ascii="宋体" w:hAnsi="Courier New" w:eastAsia="宋体"/>
      <w:kern w:val="2"/>
      <w:sz w:val="21"/>
      <w:szCs w:val="24"/>
      <w:lang w:val="en-US" w:eastAsia="zh-CN" w:bidi="ar-SA"/>
    </w:rPr>
  </w:style>
  <w:style w:type="character" w:customStyle="1" w:styleId="48">
    <w:name w:val="表头 Char"/>
    <w:link w:val="49"/>
    <w:qFormat/>
    <w:uiPriority w:val="0"/>
    <w:rPr>
      <w:rFonts w:ascii="宋体" w:hAnsi="宋体" w:eastAsia="宋体"/>
      <w:bCs/>
      <w:snapToGrid w:val="0"/>
      <w:sz w:val="21"/>
      <w:szCs w:val="18"/>
      <w:lang w:val="en-US" w:eastAsia="zh-CN" w:bidi="ar-SA"/>
    </w:rPr>
  </w:style>
  <w:style w:type="paragraph" w:customStyle="1" w:styleId="49">
    <w:name w:val="表头"/>
    <w:basedOn w:val="1"/>
    <w:link w:val="48"/>
    <w:qFormat/>
    <w:uiPriority w:val="0"/>
    <w:pPr>
      <w:spacing w:line="300" w:lineRule="auto"/>
      <w:ind w:left="-50" w:leftChars="-50"/>
      <w:jc w:val="center"/>
    </w:pPr>
    <w:rPr>
      <w:rFonts w:ascii="宋体" w:hAnsi="宋体"/>
      <w:bCs/>
      <w:snapToGrid w:val="0"/>
      <w:szCs w:val="18"/>
    </w:rPr>
  </w:style>
  <w:style w:type="character" w:customStyle="1" w:styleId="50">
    <w:name w:val="正文缩进2 Char Char Char Char Char Char Cha"/>
    <w:qFormat/>
    <w:uiPriority w:val="0"/>
    <w:rPr>
      <w:rFonts w:ascii="宋体" w:eastAsia="宋体"/>
      <w:kern w:val="2"/>
      <w:sz w:val="24"/>
      <w:szCs w:val="24"/>
      <w:lang w:val="en-US" w:eastAsia="zh-CN" w:bidi="ar-SA"/>
    </w:rPr>
  </w:style>
  <w:style w:type="character" w:customStyle="1" w:styleId="51">
    <w:name w:val="表格 Char"/>
    <w:link w:val="52"/>
    <w:qFormat/>
    <w:uiPriority w:val="0"/>
    <w:rPr>
      <w:kern w:val="2"/>
      <w:sz w:val="21"/>
      <w:szCs w:val="21"/>
      <w:lang w:val="en-US" w:eastAsia="zh-CN" w:bidi="ar-SA"/>
    </w:rPr>
  </w:style>
  <w:style w:type="paragraph" w:customStyle="1" w:styleId="52">
    <w:name w:val="表格"/>
    <w:next w:val="4"/>
    <w:link w:val="51"/>
    <w:qFormat/>
    <w:uiPriority w:val="0"/>
    <w:pPr>
      <w:spacing w:line="360" w:lineRule="exact"/>
      <w:jc w:val="center"/>
    </w:pPr>
    <w:rPr>
      <w:rFonts w:ascii="Times New Roman" w:hAnsi="Times New Roman" w:eastAsia="宋体" w:cs="Times New Roman"/>
      <w:kern w:val="2"/>
      <w:sz w:val="21"/>
      <w:szCs w:val="21"/>
      <w:lang w:val="en-US" w:eastAsia="zh-CN" w:bidi="ar-SA"/>
    </w:rPr>
  </w:style>
  <w:style w:type="character" w:customStyle="1" w:styleId="53">
    <w:name w:val="current"/>
    <w:basedOn w:val="29"/>
    <w:qFormat/>
    <w:uiPriority w:val="0"/>
    <w:rPr>
      <w:b/>
      <w:color w:val="000000"/>
      <w:bdr w:val="single" w:color="FFFFFF" w:sz="6" w:space="0"/>
      <w:shd w:val="clear" w:color="auto" w:fill="FFFFFF"/>
    </w:rPr>
  </w:style>
  <w:style w:type="character" w:customStyle="1" w:styleId="54">
    <w:name w:val="disabled"/>
    <w:basedOn w:val="29"/>
    <w:qFormat/>
    <w:uiPriority w:val="0"/>
    <w:rPr>
      <w:color w:val="DDDDDD"/>
      <w:bdr w:val="single" w:color="EEEEEE" w:sz="6" w:space="0"/>
    </w:rPr>
  </w:style>
  <w:style w:type="paragraph" w:customStyle="1" w:styleId="55">
    <w:name w:val="xl37"/>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240" w:lineRule="auto"/>
      <w:jc w:val="center"/>
      <w:textAlignment w:val="top"/>
    </w:pPr>
    <w:rPr>
      <w:rFonts w:ascii="宋体" w:hAnsi="宋体"/>
      <w:sz w:val="24"/>
      <w:szCs w:val="24"/>
    </w:rPr>
  </w:style>
  <w:style w:type="paragraph" w:customStyle="1" w:styleId="56">
    <w:name w:val="样式 标题 2 + (西文) Times New Roman (中文) 宋体 段前: 6 磅 段后: 6 磅 行距: 1..."/>
    <w:basedOn w:val="3"/>
    <w:qFormat/>
    <w:uiPriority w:val="0"/>
    <w:pPr>
      <w:widowControl w:val="0"/>
      <w:spacing w:beforeLines="0" w:line="500" w:lineRule="exact"/>
      <w:jc w:val="both"/>
    </w:pPr>
    <w:rPr>
      <w:b w:val="0"/>
      <w:sz w:val="28"/>
      <w:szCs w:val="28"/>
    </w:rPr>
  </w:style>
  <w:style w:type="paragraph" w:customStyle="1" w:styleId="57">
    <w:name w:val="xl28"/>
    <w:basedOn w:val="1"/>
    <w:qFormat/>
    <w:uiPriority w:val="0"/>
    <w:pPr>
      <w:widowControl/>
      <w:pBdr>
        <w:bottom w:val="single" w:color="auto" w:sz="4" w:space="0"/>
        <w:right w:val="single" w:color="auto" w:sz="4" w:space="0"/>
      </w:pBdr>
      <w:adjustRightInd/>
      <w:spacing w:before="100" w:beforeAutospacing="1" w:after="100" w:afterAutospacing="1" w:line="240" w:lineRule="auto"/>
      <w:jc w:val="center"/>
      <w:textAlignment w:val="top"/>
    </w:pPr>
    <w:rPr>
      <w:szCs w:val="21"/>
    </w:rPr>
  </w:style>
  <w:style w:type="paragraph" w:customStyle="1" w:styleId="58">
    <w:name w:val="正文2"/>
    <w:basedOn w:val="1"/>
    <w:qFormat/>
    <w:uiPriority w:val="0"/>
    <w:pPr>
      <w:adjustRightInd/>
      <w:spacing w:line="360" w:lineRule="auto"/>
      <w:ind w:firstLine="480" w:firstLineChars="200"/>
      <w:textAlignment w:val="auto"/>
    </w:pPr>
    <w:rPr>
      <w:rFonts w:ascii="宋体" w:hAnsi="宋体"/>
      <w:kern w:val="2"/>
      <w:sz w:val="24"/>
      <w:szCs w:val="24"/>
    </w:rPr>
  </w:style>
  <w:style w:type="paragraph" w:customStyle="1" w:styleId="59">
    <w:name w:val="Char2 Char Char Char"/>
    <w:basedOn w:val="1"/>
    <w:qFormat/>
    <w:uiPriority w:val="0"/>
    <w:pPr>
      <w:autoSpaceDE w:val="0"/>
      <w:autoSpaceDN w:val="0"/>
      <w:snapToGrid w:val="0"/>
      <w:spacing w:before="50" w:after="50" w:line="360" w:lineRule="auto"/>
      <w:ind w:firstLine="560" w:firstLineChars="200"/>
      <w:textAlignment w:val="auto"/>
    </w:pPr>
    <w:rPr>
      <w:rFonts w:ascii="宋体" w:hAnsi="宋体" w:eastAsia="仿宋_GB2312"/>
      <w:color w:val="000000"/>
      <w:kern w:val="2"/>
      <w:sz w:val="24"/>
      <w:szCs w:val="24"/>
    </w:rPr>
  </w:style>
  <w:style w:type="paragraph" w:customStyle="1" w:styleId="60">
    <w:name w:val="Char"/>
    <w:basedOn w:val="1"/>
    <w:qFormat/>
    <w:uiPriority w:val="0"/>
    <w:pPr>
      <w:adjustRightInd/>
      <w:snapToGrid w:val="0"/>
      <w:spacing w:line="360" w:lineRule="auto"/>
      <w:ind w:firstLine="529" w:firstLineChars="200"/>
      <w:textAlignment w:val="auto"/>
    </w:pPr>
    <w:rPr>
      <w:rFonts w:ascii="宋体" w:hAnsi="宋体"/>
      <w:b/>
      <w:kern w:val="2"/>
      <w:szCs w:val="24"/>
    </w:rPr>
  </w:style>
  <w:style w:type="paragraph" w:customStyle="1" w:styleId="61">
    <w:name w:val="正文001"/>
    <w:basedOn w:val="1"/>
    <w:qFormat/>
    <w:uiPriority w:val="0"/>
    <w:pPr>
      <w:adjustRightInd/>
      <w:spacing w:before="60" w:line="420" w:lineRule="exact"/>
      <w:ind w:firstLine="482"/>
      <w:textAlignment w:val="auto"/>
    </w:pPr>
    <w:rPr>
      <w:kern w:val="2"/>
      <w:sz w:val="24"/>
    </w:rPr>
  </w:style>
  <w:style w:type="paragraph" w:customStyle="1" w:styleId="62">
    <w:name w:val="正文01"/>
    <w:basedOn w:val="7"/>
    <w:qFormat/>
    <w:uiPriority w:val="0"/>
    <w:pPr>
      <w:spacing w:line="360" w:lineRule="auto"/>
      <w:ind w:firstLine="480"/>
    </w:pPr>
    <w:rPr>
      <w:sz w:val="24"/>
      <w:szCs w:val="20"/>
    </w:rPr>
  </w:style>
  <w:style w:type="paragraph" w:customStyle="1" w:styleId="63">
    <w:name w:val="1"/>
    <w:basedOn w:val="1"/>
    <w:next w:val="1"/>
    <w:qFormat/>
    <w:uiPriority w:val="0"/>
    <w:pPr>
      <w:widowControl/>
      <w:snapToGrid w:val="0"/>
      <w:spacing w:line="480" w:lineRule="exact"/>
      <w:ind w:firstLine="200" w:firstLineChars="200"/>
      <w:jc w:val="center"/>
      <w:textAlignment w:val="auto"/>
    </w:pPr>
    <w:rPr>
      <w:kern w:val="2"/>
    </w:rPr>
  </w:style>
  <w:style w:type="paragraph" w:customStyle="1" w:styleId="64">
    <w:name w:val="样式 行距: 固定值 24 磅"/>
    <w:basedOn w:val="1"/>
    <w:qFormat/>
    <w:uiPriority w:val="0"/>
    <w:pPr>
      <w:adjustRightInd/>
      <w:spacing w:line="480" w:lineRule="exact"/>
      <w:ind w:firstLine="200" w:firstLineChars="200"/>
      <w:textAlignment w:val="auto"/>
    </w:pPr>
    <w:rPr>
      <w:kern w:val="2"/>
      <w:sz w:val="24"/>
    </w:rPr>
  </w:style>
  <w:style w:type="paragraph" w:customStyle="1" w:styleId="65">
    <w:name w:val="Char11"/>
    <w:basedOn w:val="1"/>
    <w:qFormat/>
    <w:uiPriority w:val="0"/>
    <w:pPr>
      <w:adjustRightInd/>
      <w:snapToGrid w:val="0"/>
      <w:spacing w:line="360" w:lineRule="auto"/>
      <w:ind w:firstLine="529" w:firstLineChars="200"/>
      <w:textAlignment w:val="auto"/>
    </w:pPr>
    <w:rPr>
      <w:rFonts w:ascii="宋体" w:hAnsi="宋体" w:cs="宋体"/>
      <w:b/>
      <w:bCs/>
      <w:kern w:val="2"/>
      <w:szCs w:val="21"/>
    </w:rPr>
  </w:style>
  <w:style w:type="paragraph" w:customStyle="1" w:styleId="66">
    <w:name w:val="Char1 Char Char"/>
    <w:basedOn w:val="5"/>
    <w:semiHidden/>
    <w:qFormat/>
    <w:uiPriority w:val="0"/>
    <w:pPr>
      <w:tabs>
        <w:tab w:val="left" w:pos="360"/>
        <w:tab w:val="left" w:pos="900"/>
      </w:tabs>
      <w:snapToGrid w:val="0"/>
      <w:spacing w:before="120" w:after="120" w:line="360" w:lineRule="auto"/>
      <w:ind w:left="542" w:leftChars="-12" w:firstLine="200" w:firstLineChars="200"/>
      <w:jc w:val="left"/>
    </w:pPr>
    <w:rPr>
      <w:rFonts w:eastAsia="黑体"/>
      <w:b w:val="0"/>
      <w:bCs w:val="0"/>
      <w:snapToGrid w:val="0"/>
      <w:sz w:val="24"/>
      <w:szCs w:val="24"/>
    </w:rPr>
  </w:style>
  <w:style w:type="paragraph" w:customStyle="1" w:styleId="67">
    <w:name w:val="样式 正文文本正文文字body textbt + 首行缩进:  2 字符"/>
    <w:basedOn w:val="1"/>
    <w:qFormat/>
    <w:uiPriority w:val="0"/>
    <w:pPr>
      <w:adjustRightInd/>
      <w:spacing w:line="240" w:lineRule="auto"/>
      <w:ind w:firstLine="492" w:firstLineChars="200"/>
      <w:textAlignment w:val="auto"/>
    </w:pPr>
    <w:rPr>
      <w:rFonts w:ascii="宋体" w:hAnsi="宋体" w:cs="宋体"/>
      <w:color w:val="FF0000"/>
      <w:sz w:val="24"/>
      <w:szCs w:val="24"/>
    </w:rPr>
  </w:style>
  <w:style w:type="paragraph" w:customStyle="1" w:styleId="68">
    <w:name w:val="表格001"/>
    <w:basedOn w:val="1"/>
    <w:qFormat/>
    <w:uiPriority w:val="0"/>
    <w:pPr>
      <w:adjustRightInd/>
      <w:spacing w:line="240" w:lineRule="auto"/>
      <w:jc w:val="center"/>
      <w:textAlignment w:val="auto"/>
    </w:pPr>
    <w:rPr>
      <w:kern w:val="2"/>
    </w:rPr>
  </w:style>
  <w:style w:type="paragraph" w:customStyle="1" w:styleId="69">
    <w:name w:val="cardlist-value"/>
    <w:basedOn w:val="1"/>
    <w:qFormat/>
    <w:uiPriority w:val="0"/>
    <w:pPr>
      <w:widowControl/>
      <w:adjustRightInd/>
      <w:spacing w:before="100" w:beforeAutospacing="1" w:after="100" w:afterAutospacing="1" w:line="240" w:lineRule="auto"/>
      <w:jc w:val="left"/>
      <w:textAlignment w:val="auto"/>
    </w:pPr>
    <w:rPr>
      <w:rFonts w:ascii="宋体" w:hAnsi="宋体" w:cs="宋体"/>
      <w:sz w:val="24"/>
      <w:szCs w:val="24"/>
    </w:rPr>
  </w:style>
  <w:style w:type="paragraph" w:customStyle="1" w:styleId="70">
    <w:name w:val="Char Char Char Char"/>
    <w:basedOn w:val="1"/>
    <w:qFormat/>
    <w:uiPriority w:val="0"/>
    <w:pPr>
      <w:adjustRightInd/>
      <w:spacing w:line="240" w:lineRule="auto"/>
      <w:textAlignment w:val="auto"/>
    </w:pPr>
    <w:rPr>
      <w:kern w:val="2"/>
      <w:szCs w:val="21"/>
    </w:rPr>
  </w:style>
  <w:style w:type="paragraph" w:customStyle="1" w:styleId="71">
    <w:name w:val="默认段落字体 Para Char Char Char Char"/>
    <w:basedOn w:val="1"/>
    <w:qFormat/>
    <w:uiPriority w:val="0"/>
    <w:pPr>
      <w:adjustRightInd/>
      <w:spacing w:line="240" w:lineRule="auto"/>
      <w:textAlignment w:val="auto"/>
    </w:pPr>
    <w:rPr>
      <w:kern w:val="2"/>
      <w:szCs w:val="24"/>
    </w:rPr>
  </w:style>
  <w:style w:type="paragraph" w:customStyle="1" w:styleId="72">
    <w:name w:val="Char Char1"/>
    <w:basedOn w:val="1"/>
    <w:qFormat/>
    <w:uiPriority w:val="0"/>
    <w:pPr>
      <w:widowControl/>
      <w:adjustRightInd/>
      <w:spacing w:after="160" w:line="240" w:lineRule="exact"/>
      <w:jc w:val="left"/>
      <w:textAlignment w:val="auto"/>
    </w:pPr>
    <w:rPr>
      <w:kern w:val="2"/>
      <w:szCs w:val="21"/>
    </w:rPr>
  </w:style>
  <w:style w:type="paragraph" w:customStyle="1" w:styleId="73">
    <w:name w:val="样式1"/>
    <w:basedOn w:val="1"/>
    <w:qFormat/>
    <w:uiPriority w:val="0"/>
    <w:pPr>
      <w:adjustRightInd/>
      <w:spacing w:line="360" w:lineRule="auto"/>
      <w:ind w:firstLine="510"/>
      <w:textAlignment w:val="auto"/>
    </w:pPr>
    <w:rPr>
      <w:kern w:val="2"/>
      <w:sz w:val="24"/>
    </w:rPr>
  </w:style>
  <w:style w:type="paragraph" w:customStyle="1" w:styleId="74">
    <w:name w:val="默认段落字体 Para Char Char Char Char Char Char Char"/>
    <w:basedOn w:val="1"/>
    <w:qFormat/>
    <w:uiPriority w:val="0"/>
    <w:pPr>
      <w:spacing w:line="360" w:lineRule="auto"/>
    </w:pPr>
    <w:rPr>
      <w:sz w:val="24"/>
    </w:rPr>
  </w:style>
  <w:style w:type="paragraph" w:customStyle="1" w:styleId="75">
    <w:name w:val="正文内容"/>
    <w:basedOn w:val="1"/>
    <w:qFormat/>
    <w:uiPriority w:val="0"/>
    <w:pPr>
      <w:adjustRightInd/>
      <w:spacing w:line="360" w:lineRule="auto"/>
      <w:ind w:firstLine="624"/>
      <w:textAlignment w:val="auto"/>
    </w:pPr>
    <w:rPr>
      <w:rFonts w:ascii="宋体"/>
      <w:kern w:val="2"/>
      <w:sz w:val="24"/>
      <w:szCs w:val="24"/>
    </w:rPr>
  </w:style>
  <w:style w:type="paragraph" w:customStyle="1" w:styleId="76">
    <w:name w:val="In Table"/>
    <w:basedOn w:val="1"/>
    <w:qFormat/>
    <w:uiPriority w:val="0"/>
    <w:pPr>
      <w:tabs>
        <w:tab w:val="left" w:pos="2200"/>
        <w:tab w:val="left" w:pos="3960"/>
        <w:tab w:val="left" w:pos="5280"/>
      </w:tabs>
      <w:adjustRightInd/>
      <w:spacing w:before="96" w:after="96" w:line="0" w:lineRule="atLeast"/>
      <w:jc w:val="center"/>
      <w:textAlignment w:val="auto"/>
    </w:pPr>
    <w:rPr>
      <w:rFonts w:ascii="Tahoma" w:hAnsi="Tahoma" w:eastAsia="华文中宋"/>
      <w:kern w:val="2"/>
    </w:rPr>
  </w:style>
  <w:style w:type="paragraph" w:customStyle="1" w:styleId="77">
    <w:name w:val="文"/>
    <w:basedOn w:val="1"/>
    <w:qFormat/>
    <w:uiPriority w:val="0"/>
    <w:pPr>
      <w:adjustRightInd/>
      <w:spacing w:line="360" w:lineRule="auto"/>
      <w:ind w:firstLine="480" w:firstLineChars="200"/>
      <w:textAlignment w:val="auto"/>
    </w:pPr>
    <w:rPr>
      <w:kern w:val="2"/>
      <w:sz w:val="24"/>
      <w:szCs w:val="24"/>
    </w:rPr>
  </w:style>
  <w:style w:type="paragraph" w:customStyle="1" w:styleId="78">
    <w:name w:val="Char1"/>
    <w:basedOn w:val="1"/>
    <w:qFormat/>
    <w:uiPriority w:val="0"/>
    <w:pPr>
      <w:adjustRightInd/>
      <w:spacing w:line="360" w:lineRule="auto"/>
      <w:ind w:firstLine="200" w:firstLineChars="200"/>
      <w:textAlignment w:val="auto"/>
    </w:pPr>
    <w:rPr>
      <w:rFonts w:ascii="宋体" w:hAnsi="宋体" w:cs="宋体"/>
      <w:kern w:val="2"/>
      <w:sz w:val="24"/>
      <w:szCs w:val="24"/>
    </w:rPr>
  </w:style>
  <w:style w:type="character" w:customStyle="1" w:styleId="79">
    <w:name w:val="font51"/>
    <w:basedOn w:val="29"/>
    <w:qFormat/>
    <w:uiPriority w:val="0"/>
    <w:rPr>
      <w:rFonts w:hint="default" w:ascii="Times New Roman" w:hAnsi="Times New Roman" w:cs="Times New Roman"/>
      <w:color w:val="auto"/>
      <w:sz w:val="21"/>
      <w:szCs w:val="21"/>
      <w:u w:val="none"/>
    </w:rPr>
  </w:style>
  <w:style w:type="paragraph" w:customStyle="1" w:styleId="80">
    <w:name w:val="样式3"/>
    <w:basedOn w:val="1"/>
    <w:qFormat/>
    <w:uiPriority w:val="0"/>
    <w:pPr>
      <w:spacing w:line="400" w:lineRule="exact"/>
    </w:pPr>
    <w:rPr>
      <w:spacing w:val="10"/>
      <w:sz w:val="24"/>
      <w:szCs w:val="24"/>
    </w:rPr>
  </w:style>
  <w:style w:type="paragraph" w:customStyle="1" w:styleId="81">
    <w:name w:val="中文报告书样式"/>
    <w:basedOn w:val="1"/>
    <w:qFormat/>
    <w:uiPriority w:val="0"/>
    <w:pPr>
      <w:spacing w:line="480" w:lineRule="atLeast"/>
      <w:ind w:firstLine="482"/>
    </w:pPr>
    <w:rPr>
      <w:kern w:val="24"/>
      <w:sz w:val="24"/>
    </w:rPr>
  </w:style>
  <w:style w:type="paragraph" w:customStyle="1" w:styleId="82">
    <w:name w:val="样式2"/>
    <w:basedOn w:val="1"/>
    <w:qFormat/>
    <w:uiPriority w:val="0"/>
    <w:pPr>
      <w:spacing w:line="360" w:lineRule="auto"/>
      <w:ind w:firstLine="200" w:firstLineChars="200"/>
    </w:pPr>
    <w:rPr>
      <w:sz w:val="24"/>
    </w:rPr>
  </w:style>
  <w:style w:type="character" w:customStyle="1" w:styleId="83">
    <w:name w:val="批注文字 字符"/>
    <w:link w:val="10"/>
    <w:qFormat/>
    <w:uiPriority w:val="0"/>
    <w:rPr>
      <w:sz w:val="21"/>
    </w:rPr>
  </w:style>
  <w:style w:type="paragraph" w:customStyle="1" w:styleId="84">
    <w:name w:val="列出段落1"/>
    <w:basedOn w:val="1"/>
    <w:qFormat/>
    <w:uiPriority w:val="34"/>
    <w:pPr>
      <w:ind w:firstLine="420" w:firstLineChars="200"/>
    </w:pPr>
  </w:style>
  <w:style w:type="paragraph" w:customStyle="1" w:styleId="85">
    <w:name w:val="表格文字"/>
    <w:basedOn w:val="1"/>
    <w:qFormat/>
    <w:uiPriority w:val="0"/>
    <w:pPr>
      <w:overflowPunct w:val="0"/>
      <w:topLinePunct/>
      <w:autoSpaceDE w:val="0"/>
      <w:autoSpaceDN w:val="0"/>
      <w:snapToGrid w:val="0"/>
      <w:spacing w:line="360" w:lineRule="exact"/>
      <w:jc w:val="center"/>
    </w:pPr>
    <w:rPr>
      <w:spacing w:val="6"/>
    </w:rPr>
  </w:style>
  <w:style w:type="character" w:customStyle="1" w:styleId="86">
    <w:name w:val="HTML 预设格式 字符"/>
    <w:basedOn w:val="29"/>
    <w:link w:val="22"/>
    <w:semiHidden/>
    <w:qFormat/>
    <w:uiPriority w:val="99"/>
    <w:rPr>
      <w:rFonts w:ascii="宋体" w:hAnsi="宋体" w:cs="宋体"/>
      <w:sz w:val="24"/>
      <w:szCs w:val="24"/>
    </w:rPr>
  </w:style>
  <w:style w:type="paragraph" w:customStyle="1" w:styleId="87">
    <w:name w:val="表格正文"/>
    <w:basedOn w:val="1"/>
    <w:link w:val="88"/>
    <w:qFormat/>
    <w:uiPriority w:val="0"/>
    <w:pPr>
      <w:adjustRightInd/>
      <w:spacing w:line="240" w:lineRule="exact"/>
      <w:jc w:val="center"/>
      <w:textAlignment w:val="auto"/>
    </w:pPr>
    <w:rPr>
      <w:rFonts w:hAnsi="宋体"/>
      <w:kern w:val="2"/>
      <w:szCs w:val="24"/>
    </w:rPr>
  </w:style>
  <w:style w:type="character" w:customStyle="1" w:styleId="88">
    <w:name w:val="表格正文 Char"/>
    <w:basedOn w:val="29"/>
    <w:link w:val="87"/>
    <w:qFormat/>
    <w:uiPriority w:val="0"/>
    <w:rPr>
      <w:rFonts w:hAnsi="宋体"/>
      <w:kern w:val="2"/>
      <w:sz w:val="21"/>
      <w:szCs w:val="24"/>
    </w:rPr>
  </w:style>
  <w:style w:type="paragraph" w:styleId="89">
    <w:name w:val="List Paragraph"/>
    <w:basedOn w:val="1"/>
    <w:qFormat/>
    <w:uiPriority w:val="99"/>
    <w:pPr>
      <w:ind w:firstLine="420" w:firstLineChars="200"/>
    </w:pPr>
  </w:style>
  <w:style w:type="character" w:customStyle="1" w:styleId="90">
    <w:name w:val="正文文本缩进 字符"/>
    <w:basedOn w:val="29"/>
    <w:link w:val="12"/>
    <w:qFormat/>
    <w:uiPriority w:val="0"/>
    <w:rPr>
      <w:bCs/>
      <w:kern w:val="2"/>
      <w:sz w:val="30"/>
    </w:rPr>
  </w:style>
  <w:style w:type="paragraph" w:customStyle="1" w:styleId="91">
    <w:name w:val="wyt-正文"/>
    <w:basedOn w:val="1"/>
    <w:link w:val="92"/>
    <w:qFormat/>
    <w:uiPriority w:val="0"/>
    <w:pPr>
      <w:snapToGrid w:val="0"/>
      <w:spacing w:line="240" w:lineRule="exact"/>
      <w:jc w:val="center"/>
      <w:textAlignment w:val="auto"/>
    </w:pPr>
  </w:style>
  <w:style w:type="character" w:customStyle="1" w:styleId="92">
    <w:name w:val="wyt-正文 Char"/>
    <w:link w:val="91"/>
    <w:qFormat/>
    <w:uiPriority w:val="0"/>
    <w:rPr>
      <w:sz w:val="21"/>
    </w:rPr>
  </w:style>
  <w:style w:type="paragraph" w:customStyle="1" w:styleId="93">
    <w:name w:val="列出段落2"/>
    <w:basedOn w:val="1"/>
    <w:qFormat/>
    <w:uiPriority w:val="0"/>
    <w:pPr>
      <w:ind w:firstLine="420" w:firstLineChars="200"/>
    </w:pPr>
  </w:style>
  <w:style w:type="paragraph" w:customStyle="1" w:styleId="94">
    <w:name w:val="一级条标题"/>
    <w:basedOn w:val="1"/>
    <w:next w:val="1"/>
    <w:qFormat/>
    <w:uiPriority w:val="0"/>
    <w:pPr>
      <w:widowControl/>
      <w:tabs>
        <w:tab w:val="left" w:pos="360"/>
      </w:tabs>
      <w:adjustRightInd/>
      <w:spacing w:line="240" w:lineRule="auto"/>
      <w:textAlignment w:val="auto"/>
      <w:outlineLvl w:val="2"/>
    </w:pPr>
    <w:rPr>
      <w:rFonts w:ascii="黑体" w:eastAsia="黑体"/>
    </w:rPr>
  </w:style>
  <w:style w:type="character" w:customStyle="1" w:styleId="95">
    <w:name w:val="fontstyle01"/>
    <w:basedOn w:val="29"/>
    <w:qFormat/>
    <w:uiPriority w:val="0"/>
    <w:rPr>
      <w:rFonts w:hint="eastAsia" w:ascii="宋体" w:hAnsi="宋体" w:eastAsia="宋体"/>
      <w:color w:val="000000"/>
      <w:sz w:val="24"/>
      <w:szCs w:val="24"/>
    </w:rPr>
  </w:style>
  <w:style w:type="character" w:customStyle="1" w:styleId="96">
    <w:name w:val="fontstyle21"/>
    <w:basedOn w:val="29"/>
    <w:qFormat/>
    <w:uiPriority w:val="0"/>
    <w:rPr>
      <w:rFonts w:hint="default" w:ascii="TimesNewRomanPSMT" w:hAnsi="TimesNewRomanPSMT"/>
      <w:color w:val="000000"/>
      <w:sz w:val="24"/>
      <w:szCs w:val="24"/>
    </w:rPr>
  </w:style>
  <w:style w:type="paragraph" w:customStyle="1" w:styleId="97">
    <w:name w:val="样式 首行缩进:  1 厘米 行距: 固定值 24 磅"/>
    <w:basedOn w:val="1"/>
    <w:qFormat/>
    <w:uiPriority w:val="0"/>
    <w:pPr>
      <w:adjustRightInd/>
      <w:spacing w:line="480" w:lineRule="exact"/>
      <w:ind w:firstLine="480" w:firstLineChars="200"/>
      <w:textAlignment w:val="auto"/>
    </w:pPr>
    <w:rPr>
      <w:rFonts w:ascii="宋体" w:hAnsi="宋体"/>
      <w:kern w:val="2"/>
      <w:sz w:val="24"/>
      <w:szCs w:val="24"/>
    </w:rPr>
  </w:style>
  <w:style w:type="paragraph" w:customStyle="1" w:styleId="98">
    <w:name w:val="正"/>
    <w:basedOn w:val="1"/>
    <w:link w:val="99"/>
    <w:qFormat/>
    <w:uiPriority w:val="0"/>
    <w:pPr>
      <w:adjustRightInd/>
      <w:spacing w:line="240" w:lineRule="auto"/>
      <w:ind w:firstLine="200" w:firstLineChars="200"/>
      <w:textAlignment w:val="auto"/>
    </w:pPr>
    <w:rPr>
      <w:kern w:val="2"/>
      <w:sz w:val="24"/>
    </w:rPr>
  </w:style>
  <w:style w:type="character" w:customStyle="1" w:styleId="99">
    <w:name w:val="正 Char"/>
    <w:link w:val="98"/>
    <w:qFormat/>
    <w:uiPriority w:val="0"/>
    <w:rPr>
      <w:kern w:val="2"/>
      <w:sz w:val="24"/>
    </w:rPr>
  </w:style>
  <w:style w:type="paragraph" w:customStyle="1" w:styleId="100">
    <w:name w:val="表格内容"/>
    <w:link w:val="101"/>
    <w:qFormat/>
    <w:uiPriority w:val="0"/>
    <w:pPr>
      <w:adjustRightInd w:val="0"/>
      <w:snapToGrid w:val="0"/>
      <w:spacing w:line="360" w:lineRule="exact"/>
      <w:jc w:val="center"/>
    </w:pPr>
    <w:rPr>
      <w:rFonts w:ascii="Times New Roman" w:hAnsi="Times New Roman" w:eastAsia="宋体" w:cs="Times New Roman"/>
      <w:color w:val="000000"/>
      <w:sz w:val="21"/>
      <w:szCs w:val="24"/>
      <w:lang w:val="en-US" w:eastAsia="zh-CN" w:bidi="ar-SA"/>
    </w:rPr>
  </w:style>
  <w:style w:type="character" w:customStyle="1" w:styleId="101">
    <w:name w:val="表格内容 Char"/>
    <w:link w:val="100"/>
    <w:qFormat/>
    <w:uiPriority w:val="0"/>
    <w:rPr>
      <w:color w:val="000000"/>
      <w:sz w:val="21"/>
      <w:szCs w:val="24"/>
    </w:rPr>
  </w:style>
  <w:style w:type="paragraph" w:customStyle="1" w:styleId="102">
    <w:name w:val="表题注"/>
    <w:basedOn w:val="7"/>
    <w:link w:val="103"/>
    <w:qFormat/>
    <w:uiPriority w:val="0"/>
    <w:pPr>
      <w:spacing w:beforeLines="50" w:line="480" w:lineRule="exact"/>
      <w:ind w:firstLine="0" w:firstLineChars="0"/>
      <w:jc w:val="center"/>
    </w:pPr>
    <w:rPr>
      <w:b/>
      <w:spacing w:val="4"/>
      <w:sz w:val="24"/>
    </w:rPr>
  </w:style>
  <w:style w:type="character" w:customStyle="1" w:styleId="103">
    <w:name w:val="表题注 Char"/>
    <w:basedOn w:val="29"/>
    <w:link w:val="102"/>
    <w:qFormat/>
    <w:uiPriority w:val="0"/>
    <w:rPr>
      <w:b/>
      <w:spacing w:val="4"/>
      <w:kern w:val="2"/>
      <w:sz w:val="24"/>
      <w:szCs w:val="24"/>
    </w:rPr>
  </w:style>
  <w:style w:type="character" w:customStyle="1" w:styleId="104">
    <w:name w:val="正文缩进 Char1"/>
    <w:qFormat/>
    <w:uiPriority w:val="0"/>
    <w:rPr>
      <w:rFonts w:ascii="Verdana" w:hAnsi="Verdana"/>
      <w:spacing w:val="8"/>
      <w:kern w:val="2"/>
      <w:sz w:val="21"/>
      <w:lang w:eastAsia="en-US"/>
    </w:rPr>
  </w:style>
  <w:style w:type="paragraph" w:customStyle="1" w:styleId="10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06">
    <w:name w:val="段落"/>
    <w:basedOn w:val="1"/>
    <w:link w:val="107"/>
    <w:qFormat/>
    <w:uiPriority w:val="0"/>
    <w:pPr>
      <w:adjustRightInd/>
      <w:spacing w:line="240" w:lineRule="auto"/>
      <w:ind w:firstLine="480" w:firstLineChars="200"/>
      <w:textAlignment w:val="auto"/>
    </w:pPr>
    <w:rPr>
      <w:kern w:val="2"/>
      <w:sz w:val="24"/>
      <w:szCs w:val="21"/>
    </w:rPr>
  </w:style>
  <w:style w:type="character" w:customStyle="1" w:styleId="107">
    <w:name w:val="段落 Char"/>
    <w:basedOn w:val="29"/>
    <w:link w:val="106"/>
    <w:qFormat/>
    <w:uiPriority w:val="0"/>
    <w:rPr>
      <w:kern w:val="2"/>
      <w:sz w:val="24"/>
      <w:szCs w:val="21"/>
    </w:rPr>
  </w:style>
  <w:style w:type="character" w:customStyle="1" w:styleId="108">
    <w:name w:val="正文文本 字符"/>
    <w:basedOn w:val="29"/>
    <w:link w:val="11"/>
    <w:qFormat/>
    <w:uiPriority w:val="0"/>
    <w:rPr>
      <w:sz w:val="21"/>
    </w:rPr>
  </w:style>
  <w:style w:type="character" w:customStyle="1" w:styleId="109">
    <w:name w:val="正文首行缩进 字符"/>
    <w:basedOn w:val="108"/>
    <w:link w:val="25"/>
    <w:qFormat/>
    <w:uiPriority w:val="0"/>
    <w:rPr>
      <w:kern w:val="2"/>
      <w:sz w:val="21"/>
    </w:rPr>
  </w:style>
  <w:style w:type="character" w:customStyle="1" w:styleId="110">
    <w:name w:val="正文首行缩进 2 字符"/>
    <w:basedOn w:val="90"/>
    <w:link w:val="26"/>
    <w:semiHidden/>
    <w:qFormat/>
    <w:uiPriority w:val="0"/>
    <w:rPr>
      <w:bCs w:val="0"/>
      <w:kern w:val="2"/>
      <w:sz w:val="21"/>
    </w:rPr>
  </w:style>
  <w:style w:type="table" w:customStyle="1" w:styleId="111">
    <w:name w:val="网格型1"/>
    <w:basedOn w:val="27"/>
    <w:qFormat/>
    <w:uiPriority w:val="3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2">
    <w:name w:val="Placeholder Text"/>
    <w:basedOn w:val="29"/>
    <w:semiHidden/>
    <w:qFormat/>
    <w:uiPriority w:val="99"/>
    <w:rPr>
      <w:color w:val="808080"/>
    </w:rPr>
  </w:style>
  <w:style w:type="character" w:customStyle="1" w:styleId="113">
    <w:name w:val="正文缩进 Char"/>
    <w:qFormat/>
    <w:uiPriority w:val="0"/>
    <w:rPr>
      <w:rFonts w:eastAsia="宋体"/>
      <w:kern w:val="2"/>
      <w:sz w:val="21"/>
      <w:lang w:val="en-US" w:eastAsia="zh-CN" w:bidi="ar-SA"/>
    </w:rPr>
  </w:style>
  <w:style w:type="paragraph" w:customStyle="1" w:styleId="114">
    <w:name w:val="Revision"/>
    <w:hidden/>
    <w:semiHidden/>
    <w:qFormat/>
    <w:uiPriority w:val="99"/>
    <w:rPr>
      <w:rFonts w:ascii="Times New Roman"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7.wmf"/><Relationship Id="rId25" Type="http://schemas.openxmlformats.org/officeDocument/2006/relationships/oleObject" Target="embeddings/oleObject2.bin"/><Relationship Id="rId24" Type="http://schemas.openxmlformats.org/officeDocument/2006/relationships/image" Target="media/image16.jpeg"/><Relationship Id="rId23" Type="http://schemas.openxmlformats.org/officeDocument/2006/relationships/image" Target="media/image15.wmf"/><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emf"/><Relationship Id="rId18" Type="http://schemas.openxmlformats.org/officeDocument/2006/relationships/image" Target="media/image10.jpeg"/><Relationship Id="rId17" Type="http://schemas.openxmlformats.org/officeDocument/2006/relationships/image" Target="media/image9.emf"/><Relationship Id="rId16" Type="http://schemas.openxmlformats.org/officeDocument/2006/relationships/oleObject" Target="embeddings/oleObject1.bin"/><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D603D2-99F9-42CA-BE14-54016424260E}">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69</Pages>
  <Words>34877</Words>
  <Characters>10995</Characters>
  <Lines>91</Lines>
  <Paragraphs>91</Paragraphs>
  <TotalTime>2441</TotalTime>
  <ScaleCrop>false</ScaleCrop>
  <LinksUpToDate>false</LinksUpToDate>
  <CharactersWithSpaces>45781</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2019-06-10T10:22:00Z</dcterms:created>
  <dc:creator>AnS</dc:creator>
  <cp:keywords>AnS</cp:keywords>
  <cp:lastModifiedBy>米斯特～杨</cp:lastModifiedBy>
  <cp:lastPrinted>2020-01-15T02:57:40Z</cp:lastPrinted>
  <dcterms:modified xsi:type="dcterms:W3CDTF">2020-01-15T03:05:07Z</dcterms:modified>
  <dc:title>建设项目环境影响报告表</dc:title>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